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07E" w:rsidRDefault="0061507E" w:rsidP="0061507E">
      <w:pPr>
        <w:jc w:val="center"/>
        <w:rPr>
          <w:rFonts w:ascii="ˎ̥" w:hAnsi="ˎ̥" w:hint="eastAsia"/>
          <w:b/>
          <w:bCs/>
          <w:color w:val="185895"/>
        </w:rPr>
      </w:pPr>
      <w:r>
        <w:rPr>
          <w:rFonts w:ascii="ˎ̥" w:hAnsi="ˎ̥" w:hint="eastAsia"/>
          <w:b/>
          <w:bCs/>
          <w:color w:val="185895"/>
        </w:rPr>
        <w:t>财政部</w:t>
      </w:r>
      <w:r>
        <w:rPr>
          <w:rFonts w:ascii="ˎ̥" w:hAnsi="ˎ̥"/>
          <w:b/>
          <w:bCs/>
          <w:color w:val="185895"/>
        </w:rPr>
        <w:t>关于印发《基本建设项目竣工财务决算管理暂行办法》的通知</w:t>
      </w:r>
    </w:p>
    <w:p w:rsidR="0061507E" w:rsidRDefault="0061507E" w:rsidP="0061507E">
      <w:pPr>
        <w:jc w:val="center"/>
        <w:rPr>
          <w:rFonts w:ascii="ˎ̥" w:hAnsi="ˎ̥"/>
          <w:sz w:val="16"/>
          <w:szCs w:val="16"/>
        </w:rPr>
      </w:pPr>
      <w:r>
        <w:rPr>
          <w:rFonts w:ascii="ˎ̥" w:hAnsi="ˎ̥" w:hint="eastAsia"/>
          <w:b/>
          <w:bCs/>
          <w:color w:val="185895"/>
        </w:rPr>
        <w:t xml:space="preserve"> </w:t>
      </w:r>
      <w:r>
        <w:rPr>
          <w:rFonts w:ascii="ˎ̥" w:hAnsi="ˎ̥"/>
          <w:sz w:val="16"/>
          <w:szCs w:val="16"/>
        </w:rPr>
        <w:t>财建〔</w:t>
      </w:r>
      <w:r>
        <w:rPr>
          <w:rFonts w:ascii="ˎ̥" w:hAnsi="ˎ̥"/>
          <w:sz w:val="16"/>
          <w:szCs w:val="16"/>
        </w:rPr>
        <w:t>2016</w:t>
      </w:r>
      <w:r>
        <w:rPr>
          <w:rFonts w:ascii="ˎ̥" w:hAnsi="ˎ̥"/>
          <w:sz w:val="16"/>
          <w:szCs w:val="16"/>
        </w:rPr>
        <w:t>〕</w:t>
      </w:r>
      <w:r>
        <w:rPr>
          <w:rFonts w:ascii="ˎ̥" w:hAnsi="ˎ̥"/>
          <w:sz w:val="16"/>
          <w:szCs w:val="16"/>
        </w:rPr>
        <w:t>503</w:t>
      </w:r>
      <w:r>
        <w:rPr>
          <w:rFonts w:ascii="ˎ̥" w:hAnsi="ˎ̥"/>
          <w:sz w:val="16"/>
          <w:szCs w:val="16"/>
        </w:rPr>
        <w:t>号</w:t>
      </w:r>
    </w:p>
    <w:p w:rsidR="0061507E" w:rsidRDefault="0061507E" w:rsidP="0061507E">
      <w:pPr>
        <w:pStyle w:val="a3"/>
        <w:spacing w:line="432" w:lineRule="auto"/>
        <w:rPr>
          <w:rFonts w:ascii="ˎ̥" w:hAnsi="ˎ̥"/>
          <w:sz w:val="16"/>
          <w:szCs w:val="16"/>
        </w:rPr>
      </w:pPr>
      <w:r>
        <w:rPr>
          <w:rFonts w:ascii="ˎ̥" w:hAnsi="ˎ̥"/>
          <w:sz w:val="16"/>
          <w:szCs w:val="16"/>
        </w:rPr>
        <w:t>党中央有关部门，国务院各部委、各直属机构，军委后勤保障部、武警总部，全国人大常委会办公厅，全国政协办公厅，高法院，高检院，各民主党派中央，有关人民团体，各中央管理企业，各省、自治区、直辖市、计划单列市财政厅（局），新疆生产建设兵团财务局：</w:t>
      </w:r>
    </w:p>
    <w:p w:rsidR="0061507E" w:rsidRDefault="0061507E" w:rsidP="0061507E">
      <w:pPr>
        <w:pStyle w:val="a3"/>
        <w:spacing w:line="432" w:lineRule="auto"/>
        <w:rPr>
          <w:rFonts w:ascii="ˎ̥" w:hAnsi="ˎ̥"/>
          <w:sz w:val="16"/>
          <w:szCs w:val="16"/>
        </w:rPr>
      </w:pPr>
      <w:r>
        <w:rPr>
          <w:rFonts w:ascii="ˎ̥" w:hAnsi="ˎ̥"/>
          <w:sz w:val="16"/>
          <w:szCs w:val="16"/>
        </w:rPr>
        <w:t xml:space="preserve">　　为推动各部门、各地区进一步加强基本建设项目竣工财务决算管理，提高资金使用效益，针对基本建设项目竣工财务决算管理中反映出的主要问题，依据《基本建设财务规则》，现印发《基本建设项目竣工财务决算管理暂行办法》，请认真贯彻执行。</w:t>
      </w:r>
    </w:p>
    <w:p w:rsidR="0061507E" w:rsidRDefault="0061507E" w:rsidP="0061507E">
      <w:pPr>
        <w:pStyle w:val="a3"/>
        <w:spacing w:line="432" w:lineRule="auto"/>
        <w:rPr>
          <w:rFonts w:ascii="ˎ̥" w:hAnsi="ˎ̥"/>
          <w:sz w:val="16"/>
          <w:szCs w:val="16"/>
        </w:rPr>
      </w:pPr>
      <w:r>
        <w:rPr>
          <w:rFonts w:ascii="ˎ̥" w:hAnsi="ˎ̥"/>
          <w:sz w:val="16"/>
          <w:szCs w:val="16"/>
        </w:rPr>
        <w:t xml:space="preserve">　　附件：基本建设项目竣工财务决算管理暂行办法</w:t>
      </w:r>
    </w:p>
    <w:p w:rsidR="0061507E" w:rsidRDefault="0061507E" w:rsidP="0061507E">
      <w:pPr>
        <w:pStyle w:val="a3"/>
        <w:spacing w:line="432" w:lineRule="auto"/>
        <w:jc w:val="right"/>
        <w:rPr>
          <w:rFonts w:ascii="ˎ̥" w:hAnsi="ˎ̥"/>
          <w:sz w:val="16"/>
          <w:szCs w:val="16"/>
        </w:rPr>
      </w:pPr>
      <w:r>
        <w:rPr>
          <w:rFonts w:ascii="ˎ̥" w:hAnsi="ˎ̥"/>
          <w:sz w:val="16"/>
          <w:szCs w:val="16"/>
        </w:rPr>
        <w:t xml:space="preserve">　　</w:t>
      </w:r>
      <w:r>
        <w:rPr>
          <w:rFonts w:ascii="ˎ̥" w:hAnsi="ˎ̥"/>
          <w:sz w:val="16"/>
          <w:szCs w:val="16"/>
        </w:rPr>
        <w:t xml:space="preserve">                                   </w:t>
      </w:r>
      <w:r>
        <w:rPr>
          <w:rFonts w:ascii="ˎ̥" w:hAnsi="ˎ̥"/>
          <w:sz w:val="16"/>
          <w:szCs w:val="16"/>
        </w:rPr>
        <w:t>财</w:t>
      </w:r>
      <w:r>
        <w:rPr>
          <w:rFonts w:ascii="ˎ̥" w:hAnsi="ˎ̥"/>
          <w:sz w:val="16"/>
          <w:szCs w:val="16"/>
        </w:rPr>
        <w:t xml:space="preserve"> </w:t>
      </w:r>
      <w:r>
        <w:rPr>
          <w:rFonts w:ascii="ˎ̥" w:hAnsi="ˎ̥"/>
          <w:sz w:val="16"/>
          <w:szCs w:val="16"/>
        </w:rPr>
        <w:t>政</w:t>
      </w:r>
      <w:r>
        <w:rPr>
          <w:rFonts w:ascii="ˎ̥" w:hAnsi="ˎ̥"/>
          <w:sz w:val="16"/>
          <w:szCs w:val="16"/>
        </w:rPr>
        <w:t xml:space="preserve"> </w:t>
      </w:r>
      <w:r>
        <w:rPr>
          <w:rFonts w:ascii="ˎ̥" w:hAnsi="ˎ̥"/>
          <w:sz w:val="16"/>
          <w:szCs w:val="16"/>
        </w:rPr>
        <w:t>部</w:t>
      </w:r>
    </w:p>
    <w:p w:rsidR="0061507E" w:rsidRDefault="0061507E" w:rsidP="0061507E">
      <w:pPr>
        <w:pStyle w:val="a3"/>
        <w:spacing w:line="432" w:lineRule="auto"/>
        <w:jc w:val="right"/>
        <w:rPr>
          <w:rFonts w:ascii="ˎ̥" w:hAnsi="ˎ̥"/>
          <w:sz w:val="16"/>
          <w:szCs w:val="16"/>
        </w:rPr>
      </w:pPr>
      <w:r>
        <w:rPr>
          <w:rFonts w:ascii="ˎ̥" w:hAnsi="ˎ̥"/>
          <w:sz w:val="16"/>
          <w:szCs w:val="16"/>
        </w:rPr>
        <w:t xml:space="preserve">　　</w:t>
      </w:r>
      <w:r>
        <w:rPr>
          <w:rFonts w:ascii="ˎ̥" w:hAnsi="ˎ̥"/>
          <w:sz w:val="16"/>
          <w:szCs w:val="16"/>
        </w:rPr>
        <w:t>                                2016</w:t>
      </w:r>
      <w:r>
        <w:rPr>
          <w:rFonts w:ascii="ˎ̥" w:hAnsi="ˎ̥"/>
          <w:sz w:val="16"/>
          <w:szCs w:val="16"/>
        </w:rPr>
        <w:t>年</w:t>
      </w:r>
      <w:r>
        <w:rPr>
          <w:rFonts w:ascii="ˎ̥" w:hAnsi="ˎ̥"/>
          <w:sz w:val="16"/>
          <w:szCs w:val="16"/>
        </w:rPr>
        <w:t>6</w:t>
      </w:r>
      <w:r>
        <w:rPr>
          <w:rFonts w:ascii="ˎ̥" w:hAnsi="ˎ̥"/>
          <w:sz w:val="16"/>
          <w:szCs w:val="16"/>
        </w:rPr>
        <w:t>月</w:t>
      </w:r>
      <w:r>
        <w:rPr>
          <w:rFonts w:ascii="ˎ̥" w:hAnsi="ˎ̥"/>
          <w:sz w:val="16"/>
          <w:szCs w:val="16"/>
        </w:rPr>
        <w:t>30</w:t>
      </w:r>
      <w:r>
        <w:rPr>
          <w:rFonts w:ascii="ˎ̥" w:hAnsi="ˎ̥"/>
          <w:sz w:val="16"/>
          <w:szCs w:val="16"/>
        </w:rPr>
        <w:t>日</w:t>
      </w:r>
    </w:p>
    <w:p w:rsidR="0061507E" w:rsidRDefault="0061507E" w:rsidP="0061507E">
      <w:pPr>
        <w:pStyle w:val="a3"/>
        <w:spacing w:line="432" w:lineRule="auto"/>
        <w:rPr>
          <w:rFonts w:ascii="ˎ̥" w:hAnsi="ˎ̥"/>
          <w:sz w:val="16"/>
          <w:szCs w:val="16"/>
        </w:rPr>
      </w:pPr>
      <w:r>
        <w:rPr>
          <w:rFonts w:ascii="ˎ̥" w:hAnsi="ˎ̥"/>
          <w:sz w:val="16"/>
          <w:szCs w:val="16"/>
        </w:rPr>
        <w:t>附件：</w:t>
      </w:r>
    </w:p>
    <w:p w:rsidR="0061507E" w:rsidRDefault="0061507E" w:rsidP="0061507E">
      <w:pPr>
        <w:pStyle w:val="a3"/>
        <w:spacing w:line="432" w:lineRule="auto"/>
        <w:jc w:val="center"/>
        <w:rPr>
          <w:rFonts w:ascii="ˎ̥" w:hAnsi="ˎ̥"/>
          <w:sz w:val="16"/>
          <w:szCs w:val="16"/>
        </w:rPr>
      </w:pPr>
      <w:r>
        <w:rPr>
          <w:rStyle w:val="a5"/>
          <w:rFonts w:ascii="ˎ̥" w:hAnsi="ˎ̥"/>
          <w:sz w:val="16"/>
          <w:szCs w:val="16"/>
        </w:rPr>
        <w:t>基本建设项目竣工财务决算管理暂行办法</w:t>
      </w:r>
    </w:p>
    <w:p w:rsidR="0061507E" w:rsidRDefault="0061507E" w:rsidP="0061507E">
      <w:pPr>
        <w:pStyle w:val="a3"/>
        <w:spacing w:line="432" w:lineRule="auto"/>
        <w:rPr>
          <w:rFonts w:ascii="ˎ̥" w:hAnsi="ˎ̥"/>
          <w:sz w:val="16"/>
          <w:szCs w:val="16"/>
        </w:rPr>
      </w:pPr>
      <w:r>
        <w:rPr>
          <w:rFonts w:ascii="ˎ̥" w:hAnsi="ˎ̥"/>
          <w:sz w:val="16"/>
          <w:szCs w:val="16"/>
        </w:rPr>
        <w:t xml:space="preserve">　　第一条</w:t>
      </w:r>
      <w:r>
        <w:rPr>
          <w:rFonts w:ascii="ˎ̥" w:hAnsi="ˎ̥"/>
          <w:sz w:val="16"/>
          <w:szCs w:val="16"/>
        </w:rPr>
        <w:t xml:space="preserve"> </w:t>
      </w:r>
      <w:r>
        <w:rPr>
          <w:rFonts w:ascii="ˎ̥" w:hAnsi="ˎ̥"/>
          <w:sz w:val="16"/>
          <w:szCs w:val="16"/>
        </w:rPr>
        <w:t>为进一步加强基本建设项目竣工财务决算管理，依据《基本建设财务规则》（财政部令第</w:t>
      </w:r>
      <w:r>
        <w:rPr>
          <w:rFonts w:ascii="ˎ̥" w:hAnsi="ˎ̥"/>
          <w:sz w:val="16"/>
          <w:szCs w:val="16"/>
        </w:rPr>
        <w:t>81</w:t>
      </w:r>
      <w:r>
        <w:rPr>
          <w:rFonts w:ascii="ˎ̥" w:hAnsi="ˎ̥"/>
          <w:sz w:val="16"/>
          <w:szCs w:val="16"/>
        </w:rPr>
        <w:t>号），制定本办法。</w:t>
      </w:r>
    </w:p>
    <w:p w:rsidR="0061507E" w:rsidRDefault="0061507E" w:rsidP="0061507E">
      <w:pPr>
        <w:pStyle w:val="a3"/>
        <w:spacing w:line="432" w:lineRule="auto"/>
        <w:rPr>
          <w:rFonts w:ascii="ˎ̥" w:hAnsi="ˎ̥"/>
          <w:sz w:val="16"/>
          <w:szCs w:val="16"/>
        </w:rPr>
      </w:pPr>
      <w:r>
        <w:rPr>
          <w:rFonts w:ascii="ˎ̥" w:hAnsi="ˎ̥"/>
          <w:sz w:val="16"/>
          <w:szCs w:val="16"/>
        </w:rPr>
        <w:t xml:space="preserve">　　第二条</w:t>
      </w:r>
      <w:r>
        <w:rPr>
          <w:rFonts w:ascii="ˎ̥" w:hAnsi="ˎ̥"/>
          <w:sz w:val="16"/>
          <w:szCs w:val="16"/>
        </w:rPr>
        <w:t xml:space="preserve"> </w:t>
      </w:r>
      <w:r>
        <w:rPr>
          <w:rFonts w:ascii="ˎ̥" w:hAnsi="ˎ̥"/>
          <w:sz w:val="16"/>
          <w:szCs w:val="16"/>
        </w:rPr>
        <w:t>基本建设项目（以下简称项目）完工可投入使用或者试运行合格后，应当在</w:t>
      </w:r>
      <w:r>
        <w:rPr>
          <w:rFonts w:ascii="ˎ̥" w:hAnsi="ˎ̥"/>
          <w:sz w:val="16"/>
          <w:szCs w:val="16"/>
        </w:rPr>
        <w:t>3</w:t>
      </w:r>
      <w:r>
        <w:rPr>
          <w:rFonts w:ascii="ˎ̥" w:hAnsi="ˎ̥"/>
          <w:sz w:val="16"/>
          <w:szCs w:val="16"/>
        </w:rPr>
        <w:t>个月内编报竣工财务决算，特殊情况确需延长的，中小型项目不得超过</w:t>
      </w:r>
      <w:r>
        <w:rPr>
          <w:rFonts w:ascii="ˎ̥" w:hAnsi="ˎ̥"/>
          <w:sz w:val="16"/>
          <w:szCs w:val="16"/>
        </w:rPr>
        <w:t>2</w:t>
      </w:r>
      <w:r>
        <w:rPr>
          <w:rFonts w:ascii="ˎ̥" w:hAnsi="ˎ̥"/>
          <w:sz w:val="16"/>
          <w:szCs w:val="16"/>
        </w:rPr>
        <w:t>个月，大型项目不得超过</w:t>
      </w:r>
      <w:r>
        <w:rPr>
          <w:rFonts w:ascii="ˎ̥" w:hAnsi="ˎ̥"/>
          <w:sz w:val="16"/>
          <w:szCs w:val="16"/>
        </w:rPr>
        <w:t>6</w:t>
      </w:r>
      <w:r>
        <w:rPr>
          <w:rFonts w:ascii="ˎ̥" w:hAnsi="ˎ̥"/>
          <w:sz w:val="16"/>
          <w:szCs w:val="16"/>
        </w:rPr>
        <w:t>个月。</w:t>
      </w:r>
    </w:p>
    <w:p w:rsidR="0061507E" w:rsidRDefault="0061507E" w:rsidP="0061507E">
      <w:pPr>
        <w:pStyle w:val="a3"/>
        <w:spacing w:line="432" w:lineRule="auto"/>
        <w:rPr>
          <w:rFonts w:ascii="ˎ̥" w:hAnsi="ˎ̥"/>
          <w:sz w:val="16"/>
          <w:szCs w:val="16"/>
        </w:rPr>
      </w:pPr>
      <w:r>
        <w:rPr>
          <w:rFonts w:ascii="ˎ̥" w:hAnsi="ˎ̥"/>
          <w:sz w:val="16"/>
          <w:szCs w:val="16"/>
        </w:rPr>
        <w:t xml:space="preserve">　　第三条</w:t>
      </w:r>
      <w:r>
        <w:rPr>
          <w:rFonts w:ascii="ˎ̥" w:hAnsi="ˎ̥"/>
          <w:sz w:val="16"/>
          <w:szCs w:val="16"/>
        </w:rPr>
        <w:t xml:space="preserve"> </w:t>
      </w:r>
      <w:r>
        <w:rPr>
          <w:rFonts w:ascii="ˎ̥" w:hAnsi="ˎ̥"/>
          <w:sz w:val="16"/>
          <w:szCs w:val="16"/>
        </w:rPr>
        <w:t>项目竣工财务决算未经审核前，项目建设单位一般不得撤销，项目负责人及财务主管人员、重大项目的相关工程技术主管人员、概（预）算主管人员一般不得调离。</w:t>
      </w:r>
    </w:p>
    <w:p w:rsidR="0061507E" w:rsidRDefault="0061507E" w:rsidP="0061507E">
      <w:pPr>
        <w:pStyle w:val="a3"/>
        <w:spacing w:line="432" w:lineRule="auto"/>
        <w:rPr>
          <w:rFonts w:ascii="ˎ̥" w:hAnsi="ˎ̥"/>
          <w:sz w:val="16"/>
          <w:szCs w:val="16"/>
        </w:rPr>
      </w:pPr>
      <w:r>
        <w:rPr>
          <w:rFonts w:ascii="ˎ̥" w:hAnsi="ˎ̥"/>
          <w:sz w:val="16"/>
          <w:szCs w:val="16"/>
        </w:rPr>
        <w:lastRenderedPageBreak/>
        <w:t xml:space="preserve">　　项目建设单位确需撤销的，项目有关财务资料应当转入其他机构承接、保管。项目负责人、财务人员及相关工程技术主管人员确需调离的，应当继续承担或协助做好竣工财务决算相关工作。</w:t>
      </w:r>
    </w:p>
    <w:p w:rsidR="0061507E" w:rsidRDefault="0061507E" w:rsidP="0061507E">
      <w:pPr>
        <w:pStyle w:val="a3"/>
        <w:spacing w:line="432" w:lineRule="auto"/>
        <w:rPr>
          <w:rFonts w:ascii="ˎ̥" w:hAnsi="ˎ̥"/>
          <w:sz w:val="16"/>
          <w:szCs w:val="16"/>
        </w:rPr>
      </w:pPr>
      <w:r>
        <w:rPr>
          <w:rFonts w:ascii="ˎ̥" w:hAnsi="ˎ̥"/>
          <w:sz w:val="16"/>
          <w:szCs w:val="16"/>
        </w:rPr>
        <w:t xml:space="preserve">　　第四条</w:t>
      </w:r>
      <w:r>
        <w:rPr>
          <w:rFonts w:ascii="ˎ̥" w:hAnsi="ˎ̥"/>
          <w:sz w:val="16"/>
          <w:szCs w:val="16"/>
        </w:rPr>
        <w:t xml:space="preserve"> </w:t>
      </w:r>
      <w:r>
        <w:rPr>
          <w:rFonts w:ascii="ˎ̥" w:hAnsi="ˎ̥"/>
          <w:sz w:val="16"/>
          <w:szCs w:val="16"/>
        </w:rPr>
        <w:t>实行代理记账、会计集中核算和项目代建制的，代理记账单位、会计集中核算单位和代建单位应当配合项目建设单位做好项目竣工财务决算工作。</w:t>
      </w:r>
    </w:p>
    <w:p w:rsidR="0061507E" w:rsidRDefault="0061507E" w:rsidP="0061507E">
      <w:pPr>
        <w:pStyle w:val="a3"/>
        <w:spacing w:line="432" w:lineRule="auto"/>
        <w:rPr>
          <w:rFonts w:ascii="ˎ̥" w:hAnsi="ˎ̥"/>
          <w:sz w:val="16"/>
          <w:szCs w:val="16"/>
        </w:rPr>
      </w:pPr>
      <w:r>
        <w:rPr>
          <w:rFonts w:ascii="ˎ̥" w:hAnsi="ˎ̥"/>
          <w:sz w:val="16"/>
          <w:szCs w:val="16"/>
        </w:rPr>
        <w:t xml:space="preserve">　　第五条</w:t>
      </w:r>
      <w:r>
        <w:rPr>
          <w:rFonts w:ascii="ˎ̥" w:hAnsi="ˎ̥"/>
          <w:sz w:val="16"/>
          <w:szCs w:val="16"/>
        </w:rPr>
        <w:t xml:space="preserve"> </w:t>
      </w:r>
      <w:r>
        <w:rPr>
          <w:rFonts w:ascii="ˎ̥" w:hAnsi="ˎ̥"/>
          <w:sz w:val="16"/>
          <w:szCs w:val="16"/>
        </w:rPr>
        <w:t>编制项目竣工财务决算前，项目建设单位应当完成各项账务处理及财产物资的盘点核实，做到账账、账证、账实、账表相符。项目建设单位应当逐项盘点核实、填列各种材料、设备、工具、器具等清单并妥善保管，应变价处理的库存设备、材料以及应处理的自用固定资产要公开变价处理，不得侵占、挪用。</w:t>
      </w:r>
    </w:p>
    <w:p w:rsidR="0061507E" w:rsidRDefault="0061507E" w:rsidP="0061507E">
      <w:pPr>
        <w:pStyle w:val="a3"/>
        <w:spacing w:line="432" w:lineRule="auto"/>
        <w:rPr>
          <w:rFonts w:ascii="ˎ̥" w:hAnsi="ˎ̥"/>
          <w:sz w:val="16"/>
          <w:szCs w:val="16"/>
        </w:rPr>
      </w:pPr>
      <w:r>
        <w:rPr>
          <w:rFonts w:ascii="ˎ̥" w:hAnsi="ˎ̥"/>
          <w:sz w:val="16"/>
          <w:szCs w:val="16"/>
        </w:rPr>
        <w:t xml:space="preserve">　　第六条</w:t>
      </w:r>
      <w:r>
        <w:rPr>
          <w:rFonts w:ascii="ˎ̥" w:hAnsi="ˎ̥"/>
          <w:sz w:val="16"/>
          <w:szCs w:val="16"/>
        </w:rPr>
        <w:t xml:space="preserve"> </w:t>
      </w:r>
      <w:r>
        <w:rPr>
          <w:rFonts w:ascii="ˎ̥" w:hAnsi="ˎ̥"/>
          <w:sz w:val="16"/>
          <w:szCs w:val="16"/>
        </w:rPr>
        <w:t>项目竣工财务决算的编制依据主要包括：国家有关法律法规；经批准的可行性研究报告、初步设计、概算及概算调整文件；招标文件及招标投标书，施工、代建、勘察设计、监理及设备采购等合同，政府采购审批文件、采购合同；历年下达的项目年度财政资金投资计划、预算；工程结算资料；有关的会计及财务管理资料；其他有关资料。</w:t>
      </w:r>
    </w:p>
    <w:p w:rsidR="0061507E" w:rsidRDefault="0061507E" w:rsidP="0061507E">
      <w:pPr>
        <w:pStyle w:val="a3"/>
        <w:spacing w:line="432" w:lineRule="auto"/>
        <w:rPr>
          <w:rFonts w:ascii="ˎ̥" w:hAnsi="ˎ̥"/>
          <w:sz w:val="16"/>
          <w:szCs w:val="16"/>
        </w:rPr>
      </w:pPr>
      <w:r>
        <w:rPr>
          <w:rFonts w:ascii="ˎ̥" w:hAnsi="ˎ̥"/>
          <w:sz w:val="16"/>
          <w:szCs w:val="16"/>
        </w:rPr>
        <w:t xml:space="preserve">　　第七条</w:t>
      </w:r>
      <w:r>
        <w:rPr>
          <w:rFonts w:ascii="ˎ̥" w:hAnsi="ˎ̥"/>
          <w:sz w:val="16"/>
          <w:szCs w:val="16"/>
        </w:rPr>
        <w:t xml:space="preserve"> </w:t>
      </w:r>
      <w:r>
        <w:rPr>
          <w:rFonts w:ascii="ˎ̥" w:hAnsi="ˎ̥"/>
          <w:sz w:val="16"/>
          <w:szCs w:val="16"/>
        </w:rPr>
        <w:t>项目竣工财务决算的内容主要包括：项目竣工财务决算报表</w:t>
      </w:r>
      <w:r>
        <w:rPr>
          <w:rFonts w:ascii="ˎ̥" w:hAnsi="ˎ̥"/>
          <w:sz w:val="16"/>
          <w:szCs w:val="16"/>
        </w:rPr>
        <w:t>(</w:t>
      </w:r>
      <w:r>
        <w:rPr>
          <w:rFonts w:ascii="ˎ̥" w:hAnsi="ˎ̥"/>
          <w:sz w:val="16"/>
          <w:szCs w:val="16"/>
        </w:rPr>
        <w:t>附表</w:t>
      </w:r>
      <w:r>
        <w:rPr>
          <w:rFonts w:ascii="ˎ̥" w:hAnsi="ˎ̥"/>
          <w:sz w:val="16"/>
          <w:szCs w:val="16"/>
        </w:rPr>
        <w:t>1)</w:t>
      </w:r>
      <w:r>
        <w:rPr>
          <w:rFonts w:ascii="ˎ̥" w:hAnsi="ˎ̥"/>
          <w:sz w:val="16"/>
          <w:szCs w:val="16"/>
        </w:rPr>
        <w:t>、竣工财务决算说明书、竣工财务决（结）算审核情况及相关资料。</w:t>
      </w:r>
    </w:p>
    <w:p w:rsidR="0061507E" w:rsidRDefault="0061507E" w:rsidP="0061507E">
      <w:pPr>
        <w:pStyle w:val="a3"/>
        <w:spacing w:line="432" w:lineRule="auto"/>
        <w:rPr>
          <w:rFonts w:ascii="ˎ̥" w:hAnsi="ˎ̥"/>
          <w:sz w:val="16"/>
          <w:szCs w:val="16"/>
        </w:rPr>
      </w:pPr>
      <w:r>
        <w:rPr>
          <w:rFonts w:ascii="ˎ̥" w:hAnsi="ˎ̥"/>
          <w:sz w:val="16"/>
          <w:szCs w:val="16"/>
        </w:rPr>
        <w:t xml:space="preserve">　　第八条</w:t>
      </w:r>
      <w:r>
        <w:rPr>
          <w:rFonts w:ascii="ˎ̥" w:hAnsi="ˎ̥"/>
          <w:sz w:val="16"/>
          <w:szCs w:val="16"/>
        </w:rPr>
        <w:t xml:space="preserve"> </w:t>
      </w:r>
      <w:r>
        <w:rPr>
          <w:rFonts w:ascii="ˎ̥" w:hAnsi="ˎ̥"/>
          <w:sz w:val="16"/>
          <w:szCs w:val="16"/>
        </w:rPr>
        <w:t>竣工财务决算说明书主要包括以下内容：</w:t>
      </w:r>
    </w:p>
    <w:p w:rsidR="0061507E" w:rsidRDefault="0061507E" w:rsidP="0061507E">
      <w:pPr>
        <w:pStyle w:val="a3"/>
        <w:spacing w:line="432" w:lineRule="auto"/>
        <w:rPr>
          <w:rFonts w:ascii="ˎ̥" w:hAnsi="ˎ̥"/>
          <w:sz w:val="16"/>
          <w:szCs w:val="16"/>
        </w:rPr>
      </w:pPr>
      <w:r>
        <w:rPr>
          <w:rFonts w:ascii="ˎ̥" w:hAnsi="ˎ̥"/>
          <w:sz w:val="16"/>
          <w:szCs w:val="16"/>
        </w:rPr>
        <w:t xml:space="preserve">　　（一）项目概况；</w:t>
      </w:r>
    </w:p>
    <w:p w:rsidR="0061507E" w:rsidRDefault="0061507E" w:rsidP="0061507E">
      <w:pPr>
        <w:pStyle w:val="a3"/>
        <w:spacing w:line="432" w:lineRule="auto"/>
        <w:rPr>
          <w:rFonts w:ascii="ˎ̥" w:hAnsi="ˎ̥"/>
          <w:sz w:val="16"/>
          <w:szCs w:val="16"/>
        </w:rPr>
      </w:pPr>
      <w:r>
        <w:rPr>
          <w:rFonts w:ascii="ˎ̥" w:hAnsi="ˎ̥"/>
          <w:sz w:val="16"/>
          <w:szCs w:val="16"/>
        </w:rPr>
        <w:t xml:space="preserve">　　（二）会计账务处理、财产物资清理及债权债务的清偿情况；</w:t>
      </w:r>
    </w:p>
    <w:p w:rsidR="0061507E" w:rsidRDefault="0061507E" w:rsidP="0061507E">
      <w:pPr>
        <w:pStyle w:val="a3"/>
        <w:spacing w:line="432" w:lineRule="auto"/>
        <w:rPr>
          <w:rFonts w:ascii="ˎ̥" w:hAnsi="ˎ̥"/>
          <w:sz w:val="16"/>
          <w:szCs w:val="16"/>
        </w:rPr>
      </w:pPr>
      <w:r>
        <w:rPr>
          <w:rFonts w:ascii="ˎ̥" w:hAnsi="ˎ̥"/>
          <w:sz w:val="16"/>
          <w:szCs w:val="16"/>
        </w:rPr>
        <w:t xml:space="preserve">　　（三）项目建设资金计划及到位情况，财政资金支出预算、投资计划及到位情况；</w:t>
      </w:r>
    </w:p>
    <w:p w:rsidR="0061507E" w:rsidRDefault="0061507E" w:rsidP="0061507E">
      <w:pPr>
        <w:pStyle w:val="a3"/>
        <w:spacing w:line="432" w:lineRule="auto"/>
        <w:rPr>
          <w:rFonts w:ascii="ˎ̥" w:hAnsi="ˎ̥"/>
          <w:sz w:val="16"/>
          <w:szCs w:val="16"/>
        </w:rPr>
      </w:pPr>
      <w:r>
        <w:rPr>
          <w:rFonts w:ascii="ˎ̥" w:hAnsi="ˎ̥"/>
          <w:sz w:val="16"/>
          <w:szCs w:val="16"/>
        </w:rPr>
        <w:t xml:space="preserve">　　（四）项目建设资金使用、项目结余资金分配情况；</w:t>
      </w:r>
    </w:p>
    <w:p w:rsidR="0061507E" w:rsidRDefault="0061507E" w:rsidP="0061507E">
      <w:pPr>
        <w:pStyle w:val="a3"/>
        <w:spacing w:line="432" w:lineRule="auto"/>
        <w:rPr>
          <w:rFonts w:ascii="ˎ̥" w:hAnsi="ˎ̥"/>
          <w:sz w:val="16"/>
          <w:szCs w:val="16"/>
        </w:rPr>
      </w:pPr>
      <w:r>
        <w:rPr>
          <w:rFonts w:ascii="ˎ̥" w:hAnsi="ˎ̥"/>
          <w:sz w:val="16"/>
          <w:szCs w:val="16"/>
        </w:rPr>
        <w:t xml:space="preserve">　　（五）项目概（预）算执行情况及分析，竣工实际完成投资与概算差异及原因分析；</w:t>
      </w:r>
    </w:p>
    <w:p w:rsidR="0061507E" w:rsidRDefault="0061507E" w:rsidP="0061507E">
      <w:pPr>
        <w:pStyle w:val="a3"/>
        <w:spacing w:line="432" w:lineRule="auto"/>
        <w:rPr>
          <w:rFonts w:ascii="ˎ̥" w:hAnsi="ˎ̥"/>
          <w:sz w:val="16"/>
          <w:szCs w:val="16"/>
        </w:rPr>
      </w:pPr>
      <w:r>
        <w:rPr>
          <w:rFonts w:ascii="ˎ̥" w:hAnsi="ˎ̥"/>
          <w:sz w:val="16"/>
          <w:szCs w:val="16"/>
        </w:rPr>
        <w:t xml:space="preserve">　　（六）尾工工程情况；</w:t>
      </w:r>
    </w:p>
    <w:p w:rsidR="0061507E" w:rsidRDefault="0061507E" w:rsidP="0061507E">
      <w:pPr>
        <w:pStyle w:val="a3"/>
        <w:spacing w:line="432" w:lineRule="auto"/>
        <w:rPr>
          <w:rFonts w:ascii="ˎ̥" w:hAnsi="ˎ̥"/>
          <w:sz w:val="16"/>
          <w:szCs w:val="16"/>
        </w:rPr>
      </w:pPr>
      <w:r>
        <w:rPr>
          <w:rFonts w:ascii="ˎ̥" w:hAnsi="ˎ̥"/>
          <w:sz w:val="16"/>
          <w:szCs w:val="16"/>
        </w:rPr>
        <w:lastRenderedPageBreak/>
        <w:t xml:space="preserve">　　（七）历次审计、检查、审核、稽察意见及整改落实情况；</w:t>
      </w:r>
    </w:p>
    <w:p w:rsidR="0061507E" w:rsidRDefault="0061507E" w:rsidP="0061507E">
      <w:pPr>
        <w:pStyle w:val="a3"/>
        <w:spacing w:line="432" w:lineRule="auto"/>
        <w:rPr>
          <w:rFonts w:ascii="ˎ̥" w:hAnsi="ˎ̥"/>
          <w:sz w:val="16"/>
          <w:szCs w:val="16"/>
        </w:rPr>
      </w:pPr>
      <w:r>
        <w:rPr>
          <w:rFonts w:ascii="ˎ̥" w:hAnsi="ˎ̥"/>
          <w:sz w:val="16"/>
          <w:szCs w:val="16"/>
        </w:rPr>
        <w:t xml:space="preserve">　　（八）主要技术经济指标的分析、计算情况；</w:t>
      </w:r>
    </w:p>
    <w:p w:rsidR="0061507E" w:rsidRDefault="0061507E" w:rsidP="0061507E">
      <w:pPr>
        <w:pStyle w:val="a3"/>
        <w:spacing w:line="432" w:lineRule="auto"/>
        <w:rPr>
          <w:rFonts w:ascii="ˎ̥" w:hAnsi="ˎ̥"/>
          <w:sz w:val="16"/>
          <w:szCs w:val="16"/>
        </w:rPr>
      </w:pPr>
      <w:r>
        <w:rPr>
          <w:rFonts w:ascii="ˎ̥" w:hAnsi="ˎ̥"/>
          <w:sz w:val="16"/>
          <w:szCs w:val="16"/>
        </w:rPr>
        <w:t xml:space="preserve">　　（九）项目管理经验、主要问题和建议；</w:t>
      </w:r>
    </w:p>
    <w:p w:rsidR="0061507E" w:rsidRDefault="0061507E" w:rsidP="0061507E">
      <w:pPr>
        <w:pStyle w:val="a3"/>
        <w:spacing w:line="432" w:lineRule="auto"/>
        <w:rPr>
          <w:rFonts w:ascii="ˎ̥" w:hAnsi="ˎ̥"/>
          <w:sz w:val="16"/>
          <w:szCs w:val="16"/>
        </w:rPr>
      </w:pPr>
      <w:r>
        <w:rPr>
          <w:rFonts w:ascii="ˎ̥" w:hAnsi="ˎ̥"/>
          <w:sz w:val="16"/>
          <w:szCs w:val="16"/>
        </w:rPr>
        <w:t xml:space="preserve">　　（十）预备费动用情况；</w:t>
      </w:r>
    </w:p>
    <w:p w:rsidR="0061507E" w:rsidRDefault="0061507E" w:rsidP="0061507E">
      <w:pPr>
        <w:pStyle w:val="a3"/>
        <w:spacing w:line="432" w:lineRule="auto"/>
        <w:rPr>
          <w:rFonts w:ascii="ˎ̥" w:hAnsi="ˎ̥"/>
          <w:sz w:val="16"/>
          <w:szCs w:val="16"/>
        </w:rPr>
      </w:pPr>
      <w:r>
        <w:rPr>
          <w:rFonts w:ascii="ˎ̥" w:hAnsi="ˎ̥"/>
          <w:sz w:val="16"/>
          <w:szCs w:val="16"/>
        </w:rPr>
        <w:t xml:space="preserve">　　（十一）项目建设管理制度执行情况、政府采购情况、合同履行情况；</w:t>
      </w:r>
    </w:p>
    <w:p w:rsidR="0061507E" w:rsidRDefault="0061507E" w:rsidP="0061507E">
      <w:pPr>
        <w:pStyle w:val="a3"/>
        <w:spacing w:line="432" w:lineRule="auto"/>
        <w:rPr>
          <w:rFonts w:ascii="ˎ̥" w:hAnsi="ˎ̥"/>
          <w:sz w:val="16"/>
          <w:szCs w:val="16"/>
        </w:rPr>
      </w:pPr>
      <w:r>
        <w:rPr>
          <w:rFonts w:ascii="ˎ̥" w:hAnsi="ˎ̥"/>
          <w:sz w:val="16"/>
          <w:szCs w:val="16"/>
        </w:rPr>
        <w:t xml:space="preserve">　　（十二）征地拆迁补偿情况、移民安置情况；</w:t>
      </w:r>
    </w:p>
    <w:p w:rsidR="0061507E" w:rsidRDefault="0061507E" w:rsidP="0061507E">
      <w:pPr>
        <w:pStyle w:val="a3"/>
        <w:spacing w:line="432" w:lineRule="auto"/>
        <w:rPr>
          <w:rFonts w:ascii="ˎ̥" w:hAnsi="ˎ̥"/>
          <w:sz w:val="16"/>
          <w:szCs w:val="16"/>
        </w:rPr>
      </w:pPr>
      <w:r>
        <w:rPr>
          <w:rFonts w:ascii="ˎ̥" w:hAnsi="ˎ̥"/>
          <w:sz w:val="16"/>
          <w:szCs w:val="16"/>
        </w:rPr>
        <w:t xml:space="preserve">　　（十三）需说明的其他事项。</w:t>
      </w:r>
    </w:p>
    <w:p w:rsidR="0061507E" w:rsidRDefault="0061507E" w:rsidP="0061507E">
      <w:pPr>
        <w:pStyle w:val="a3"/>
        <w:spacing w:line="432" w:lineRule="auto"/>
        <w:rPr>
          <w:rFonts w:ascii="ˎ̥" w:hAnsi="ˎ̥"/>
          <w:sz w:val="16"/>
          <w:szCs w:val="16"/>
        </w:rPr>
      </w:pPr>
      <w:r>
        <w:rPr>
          <w:rFonts w:ascii="ˎ̥" w:hAnsi="ˎ̥"/>
          <w:sz w:val="16"/>
          <w:szCs w:val="16"/>
        </w:rPr>
        <w:t xml:space="preserve">　　第九条</w:t>
      </w:r>
      <w:r>
        <w:rPr>
          <w:rFonts w:ascii="ˎ̥" w:hAnsi="ˎ̥"/>
          <w:sz w:val="16"/>
          <w:szCs w:val="16"/>
        </w:rPr>
        <w:t xml:space="preserve"> </w:t>
      </w:r>
      <w:r>
        <w:rPr>
          <w:rFonts w:ascii="ˎ̥" w:hAnsi="ˎ̥"/>
          <w:sz w:val="16"/>
          <w:szCs w:val="16"/>
        </w:rPr>
        <w:t>项目竣工决（结）算经有关部门或单位进行项目竣工决</w:t>
      </w:r>
      <w:r>
        <w:rPr>
          <w:rFonts w:ascii="ˎ̥" w:hAnsi="ˎ̥"/>
          <w:sz w:val="16"/>
          <w:szCs w:val="16"/>
        </w:rPr>
        <w:t>(</w:t>
      </w:r>
      <w:r>
        <w:rPr>
          <w:rFonts w:ascii="ˎ̥" w:hAnsi="ˎ̥"/>
          <w:sz w:val="16"/>
          <w:szCs w:val="16"/>
        </w:rPr>
        <w:t>结</w:t>
      </w:r>
      <w:r>
        <w:rPr>
          <w:rFonts w:ascii="ˎ̥" w:hAnsi="ˎ̥"/>
          <w:sz w:val="16"/>
          <w:szCs w:val="16"/>
        </w:rPr>
        <w:t>)</w:t>
      </w:r>
      <w:r>
        <w:rPr>
          <w:rFonts w:ascii="ˎ̥" w:hAnsi="ˎ̥"/>
          <w:sz w:val="16"/>
          <w:szCs w:val="16"/>
        </w:rPr>
        <w:t>算审核的，需附完整的审核报告及审核表（附表</w:t>
      </w:r>
      <w:r>
        <w:rPr>
          <w:rFonts w:ascii="ˎ̥" w:hAnsi="ˎ̥"/>
          <w:sz w:val="16"/>
          <w:szCs w:val="16"/>
        </w:rPr>
        <w:t>2</w:t>
      </w:r>
      <w:r>
        <w:rPr>
          <w:rFonts w:ascii="ˎ̥" w:hAnsi="ˎ̥"/>
          <w:sz w:val="16"/>
          <w:szCs w:val="16"/>
        </w:rPr>
        <w:t>），审核报告内容应当详实，主要包括：审核说明、审核依据、审核结果、意见、建议。</w:t>
      </w:r>
    </w:p>
    <w:p w:rsidR="0061507E" w:rsidRDefault="0061507E" w:rsidP="0061507E">
      <w:pPr>
        <w:pStyle w:val="a3"/>
        <w:spacing w:line="432" w:lineRule="auto"/>
        <w:rPr>
          <w:rFonts w:ascii="ˎ̥" w:hAnsi="ˎ̥"/>
          <w:sz w:val="16"/>
          <w:szCs w:val="16"/>
        </w:rPr>
      </w:pPr>
      <w:r>
        <w:rPr>
          <w:rFonts w:ascii="ˎ̥" w:hAnsi="ˎ̥"/>
          <w:sz w:val="16"/>
          <w:szCs w:val="16"/>
        </w:rPr>
        <w:t xml:space="preserve">　　第十条</w:t>
      </w:r>
      <w:r>
        <w:rPr>
          <w:rFonts w:ascii="ˎ̥" w:hAnsi="ˎ̥"/>
          <w:sz w:val="16"/>
          <w:szCs w:val="16"/>
        </w:rPr>
        <w:t xml:space="preserve"> </w:t>
      </w:r>
      <w:r>
        <w:rPr>
          <w:rFonts w:ascii="ˎ̥" w:hAnsi="ˎ̥"/>
          <w:sz w:val="16"/>
          <w:szCs w:val="16"/>
        </w:rPr>
        <w:t>相关资料主要包括：</w:t>
      </w:r>
    </w:p>
    <w:p w:rsidR="0061507E" w:rsidRDefault="0061507E" w:rsidP="0061507E">
      <w:pPr>
        <w:pStyle w:val="a3"/>
        <w:spacing w:line="432" w:lineRule="auto"/>
        <w:rPr>
          <w:rFonts w:ascii="ˎ̥" w:hAnsi="ˎ̥"/>
          <w:sz w:val="16"/>
          <w:szCs w:val="16"/>
        </w:rPr>
      </w:pPr>
      <w:r>
        <w:rPr>
          <w:rFonts w:ascii="ˎ̥" w:hAnsi="ˎ̥"/>
          <w:sz w:val="16"/>
          <w:szCs w:val="16"/>
        </w:rPr>
        <w:t xml:space="preserve">　　（一）项目立项、可行性研究报告、初步设计报告及概算、概算调整批复文件的复印件；</w:t>
      </w:r>
    </w:p>
    <w:p w:rsidR="0061507E" w:rsidRDefault="0061507E" w:rsidP="0061507E">
      <w:pPr>
        <w:pStyle w:val="a3"/>
        <w:spacing w:line="432" w:lineRule="auto"/>
        <w:rPr>
          <w:rFonts w:ascii="ˎ̥" w:hAnsi="ˎ̥"/>
          <w:sz w:val="16"/>
          <w:szCs w:val="16"/>
        </w:rPr>
      </w:pPr>
      <w:r>
        <w:rPr>
          <w:rFonts w:ascii="ˎ̥" w:hAnsi="ˎ̥"/>
          <w:sz w:val="16"/>
          <w:szCs w:val="16"/>
        </w:rPr>
        <w:t xml:space="preserve">　　（二）项目历年投资计划及财政资金预算下达文件的复印件；</w:t>
      </w:r>
    </w:p>
    <w:p w:rsidR="0061507E" w:rsidRDefault="0061507E" w:rsidP="0061507E">
      <w:pPr>
        <w:pStyle w:val="a3"/>
        <w:spacing w:line="432" w:lineRule="auto"/>
        <w:rPr>
          <w:rFonts w:ascii="ˎ̥" w:hAnsi="ˎ̥"/>
          <w:sz w:val="16"/>
          <w:szCs w:val="16"/>
        </w:rPr>
      </w:pPr>
      <w:r>
        <w:rPr>
          <w:rFonts w:ascii="ˎ̥" w:hAnsi="ˎ̥"/>
          <w:sz w:val="16"/>
          <w:szCs w:val="16"/>
        </w:rPr>
        <w:t xml:space="preserve">　　（三）审计、检查意见或文件的复印件；</w:t>
      </w:r>
    </w:p>
    <w:p w:rsidR="0061507E" w:rsidRDefault="0061507E" w:rsidP="0061507E">
      <w:pPr>
        <w:pStyle w:val="a3"/>
        <w:spacing w:line="432" w:lineRule="auto"/>
        <w:rPr>
          <w:rFonts w:ascii="ˎ̥" w:hAnsi="ˎ̥"/>
          <w:sz w:val="16"/>
          <w:szCs w:val="16"/>
        </w:rPr>
      </w:pPr>
      <w:r>
        <w:rPr>
          <w:rFonts w:ascii="ˎ̥" w:hAnsi="ˎ̥"/>
          <w:sz w:val="16"/>
          <w:szCs w:val="16"/>
        </w:rPr>
        <w:t xml:space="preserve">　　（四）其他与项目决算相关资料。</w:t>
      </w:r>
    </w:p>
    <w:p w:rsidR="0061507E" w:rsidRDefault="0061507E" w:rsidP="0061507E">
      <w:pPr>
        <w:pStyle w:val="a3"/>
        <w:spacing w:line="432" w:lineRule="auto"/>
        <w:rPr>
          <w:rFonts w:ascii="ˎ̥" w:hAnsi="ˎ̥"/>
          <w:sz w:val="16"/>
          <w:szCs w:val="16"/>
        </w:rPr>
      </w:pPr>
      <w:r>
        <w:rPr>
          <w:rFonts w:ascii="ˎ̥" w:hAnsi="ˎ̥"/>
          <w:sz w:val="16"/>
          <w:szCs w:val="16"/>
        </w:rPr>
        <w:t xml:space="preserve">　　第十一条</w:t>
      </w:r>
      <w:r>
        <w:rPr>
          <w:rFonts w:ascii="ˎ̥" w:hAnsi="ˎ̥"/>
          <w:sz w:val="16"/>
          <w:szCs w:val="16"/>
        </w:rPr>
        <w:t xml:space="preserve"> </w:t>
      </w:r>
      <w:r>
        <w:rPr>
          <w:rFonts w:ascii="ˎ̥" w:hAnsi="ˎ̥"/>
          <w:sz w:val="16"/>
          <w:szCs w:val="16"/>
        </w:rPr>
        <w:t>建设周期长、建设内容多的大型项目，单项工程竣工财务决算可单独报批，单项工程结余资金在整个项目竣工财务决算中一并处理。</w:t>
      </w:r>
    </w:p>
    <w:p w:rsidR="0061507E" w:rsidRDefault="0061507E" w:rsidP="0061507E">
      <w:pPr>
        <w:pStyle w:val="a3"/>
        <w:spacing w:line="432" w:lineRule="auto"/>
        <w:rPr>
          <w:rFonts w:ascii="ˎ̥" w:hAnsi="ˎ̥"/>
          <w:sz w:val="16"/>
          <w:szCs w:val="16"/>
        </w:rPr>
      </w:pPr>
      <w:r>
        <w:rPr>
          <w:rFonts w:ascii="ˎ̥" w:hAnsi="ˎ̥"/>
          <w:sz w:val="16"/>
          <w:szCs w:val="16"/>
        </w:rPr>
        <w:lastRenderedPageBreak/>
        <w:t xml:space="preserve">　　第十二条</w:t>
      </w:r>
      <w:r>
        <w:rPr>
          <w:rFonts w:ascii="ˎ̥" w:hAnsi="ˎ̥"/>
          <w:sz w:val="16"/>
          <w:szCs w:val="16"/>
        </w:rPr>
        <w:t xml:space="preserve"> </w:t>
      </w:r>
      <w:r>
        <w:rPr>
          <w:rFonts w:ascii="ˎ̥" w:hAnsi="ˎ̥"/>
          <w:sz w:val="16"/>
          <w:szCs w:val="16"/>
        </w:rPr>
        <w:t>中央项目竣工财务决算，由财政部制定统一的审核批复管理制度和操作规程。中央项目主管部门本级以及不向财政部报送年度部门决算的中央单位的项目竣工财务决算，由财政部批复；其他中央项目竣工财务决算，由中央项目主管部门负责批复，报财政部备案。国家另有规定的，从其规定。</w:t>
      </w:r>
    </w:p>
    <w:p w:rsidR="0061507E" w:rsidRDefault="0061507E" w:rsidP="0061507E">
      <w:pPr>
        <w:pStyle w:val="a3"/>
        <w:spacing w:line="432" w:lineRule="auto"/>
        <w:rPr>
          <w:rFonts w:ascii="ˎ̥" w:hAnsi="ˎ̥"/>
          <w:sz w:val="16"/>
          <w:szCs w:val="16"/>
        </w:rPr>
      </w:pPr>
      <w:r>
        <w:rPr>
          <w:rFonts w:ascii="ˎ̥" w:hAnsi="ˎ̥"/>
          <w:sz w:val="16"/>
          <w:szCs w:val="16"/>
        </w:rPr>
        <w:t xml:space="preserve">　　地方项目竣工财务决算审核批复管理职责和程序要求由同级财政部门确定。</w:t>
      </w:r>
    </w:p>
    <w:p w:rsidR="0061507E" w:rsidRDefault="0061507E" w:rsidP="0061507E">
      <w:pPr>
        <w:pStyle w:val="a3"/>
        <w:spacing w:line="432" w:lineRule="auto"/>
        <w:rPr>
          <w:rFonts w:ascii="ˎ̥" w:hAnsi="ˎ̥"/>
          <w:sz w:val="16"/>
          <w:szCs w:val="16"/>
        </w:rPr>
      </w:pPr>
      <w:r>
        <w:rPr>
          <w:rFonts w:ascii="ˎ̥" w:hAnsi="ˎ̥"/>
          <w:sz w:val="16"/>
          <w:szCs w:val="16"/>
        </w:rPr>
        <w:t xml:space="preserve">　　经营性项目的项目资本中，财政资金所占比例未超过</w:t>
      </w:r>
      <w:r>
        <w:rPr>
          <w:rFonts w:ascii="ˎ̥" w:hAnsi="ˎ̥"/>
          <w:sz w:val="16"/>
          <w:szCs w:val="16"/>
        </w:rPr>
        <w:t>50%</w:t>
      </w:r>
      <w:r>
        <w:rPr>
          <w:rFonts w:ascii="ˎ̥" w:hAnsi="ˎ̥"/>
          <w:sz w:val="16"/>
          <w:szCs w:val="16"/>
        </w:rPr>
        <w:t>的，项目竣工财务决算可以不报财政部门或者项目主管部门审核批复。项目建设单位应当按照国家有关规定加强工程价款结算和项目竣工财务决算管理。</w:t>
      </w:r>
    </w:p>
    <w:p w:rsidR="0061507E" w:rsidRDefault="0061507E" w:rsidP="0061507E">
      <w:pPr>
        <w:pStyle w:val="a3"/>
        <w:spacing w:line="432" w:lineRule="auto"/>
        <w:rPr>
          <w:rFonts w:ascii="ˎ̥" w:hAnsi="ˎ̥"/>
          <w:sz w:val="16"/>
          <w:szCs w:val="16"/>
        </w:rPr>
      </w:pPr>
      <w:r>
        <w:rPr>
          <w:rFonts w:ascii="ˎ̥" w:hAnsi="ˎ̥"/>
          <w:sz w:val="16"/>
          <w:szCs w:val="16"/>
        </w:rPr>
        <w:t xml:space="preserve">　　第十三条</w:t>
      </w:r>
      <w:r>
        <w:rPr>
          <w:rFonts w:ascii="ˎ̥" w:hAnsi="ˎ̥"/>
          <w:sz w:val="16"/>
          <w:szCs w:val="16"/>
        </w:rPr>
        <w:t xml:space="preserve"> </w:t>
      </w:r>
      <w:r>
        <w:rPr>
          <w:rFonts w:ascii="ˎ̥" w:hAnsi="ˎ̥"/>
          <w:sz w:val="16"/>
          <w:szCs w:val="16"/>
        </w:rPr>
        <w:t>财政部门和项目主管部门对项目竣工财务决算实行先审核、后批复的办法，可以委托预算评审机构或者有专业能力的社会中介机构进行审核。</w:t>
      </w:r>
    </w:p>
    <w:p w:rsidR="0061507E" w:rsidRDefault="0061507E" w:rsidP="0061507E">
      <w:pPr>
        <w:pStyle w:val="a3"/>
        <w:spacing w:line="432" w:lineRule="auto"/>
        <w:rPr>
          <w:rFonts w:ascii="ˎ̥" w:hAnsi="ˎ̥"/>
          <w:sz w:val="16"/>
          <w:szCs w:val="16"/>
        </w:rPr>
      </w:pPr>
      <w:r>
        <w:rPr>
          <w:rFonts w:ascii="ˎ̥" w:hAnsi="ˎ̥"/>
          <w:sz w:val="16"/>
          <w:szCs w:val="16"/>
        </w:rPr>
        <w:t xml:space="preserve">　　第十四条</w:t>
      </w:r>
      <w:r>
        <w:rPr>
          <w:rFonts w:ascii="ˎ̥" w:hAnsi="ˎ̥"/>
          <w:sz w:val="16"/>
          <w:szCs w:val="16"/>
        </w:rPr>
        <w:t xml:space="preserve"> </w:t>
      </w:r>
      <w:r>
        <w:rPr>
          <w:rFonts w:ascii="ˎ̥" w:hAnsi="ˎ̥"/>
          <w:sz w:val="16"/>
          <w:szCs w:val="16"/>
        </w:rPr>
        <w:t>项目竣工财务决算审核批复环节中审减的概算内投资，按投资来源比例归还投资者。</w:t>
      </w:r>
    </w:p>
    <w:p w:rsidR="0061507E" w:rsidRDefault="0061507E" w:rsidP="0061507E">
      <w:pPr>
        <w:pStyle w:val="a3"/>
        <w:spacing w:line="432" w:lineRule="auto"/>
        <w:rPr>
          <w:rFonts w:ascii="ˎ̥" w:hAnsi="ˎ̥"/>
          <w:sz w:val="16"/>
          <w:szCs w:val="16"/>
        </w:rPr>
      </w:pPr>
      <w:r>
        <w:rPr>
          <w:rFonts w:ascii="ˎ̥" w:hAnsi="ˎ̥"/>
          <w:sz w:val="16"/>
          <w:szCs w:val="16"/>
        </w:rPr>
        <w:t xml:space="preserve">　　第十五条</w:t>
      </w:r>
      <w:r>
        <w:rPr>
          <w:rFonts w:ascii="ˎ̥" w:hAnsi="ˎ̥"/>
          <w:sz w:val="16"/>
          <w:szCs w:val="16"/>
        </w:rPr>
        <w:t xml:space="preserve"> </w:t>
      </w:r>
      <w:r>
        <w:rPr>
          <w:rFonts w:ascii="ˎ̥" w:hAnsi="ˎ̥"/>
          <w:sz w:val="16"/>
          <w:szCs w:val="16"/>
        </w:rPr>
        <w:t>项目主管部门应当加强对尾工工程建设资金监督管理，督促项目建设单位抓紧实施尾工工程，及时办理尾工工程建设资金清算和资产交付使用手续。</w:t>
      </w:r>
    </w:p>
    <w:p w:rsidR="0061507E" w:rsidRDefault="0061507E" w:rsidP="0061507E">
      <w:pPr>
        <w:pStyle w:val="a3"/>
        <w:spacing w:line="432" w:lineRule="auto"/>
        <w:rPr>
          <w:rFonts w:ascii="ˎ̥" w:hAnsi="ˎ̥"/>
          <w:sz w:val="16"/>
          <w:szCs w:val="16"/>
        </w:rPr>
      </w:pPr>
      <w:r>
        <w:rPr>
          <w:rFonts w:ascii="ˎ̥" w:hAnsi="ˎ̥"/>
          <w:sz w:val="16"/>
          <w:szCs w:val="16"/>
        </w:rPr>
        <w:t xml:space="preserve">　　第十六条</w:t>
      </w:r>
      <w:r>
        <w:rPr>
          <w:rFonts w:ascii="ˎ̥" w:hAnsi="ˎ̥"/>
          <w:sz w:val="16"/>
          <w:szCs w:val="16"/>
        </w:rPr>
        <w:t xml:space="preserve"> </w:t>
      </w:r>
      <w:r>
        <w:rPr>
          <w:rFonts w:ascii="ˎ̥" w:hAnsi="ˎ̥"/>
          <w:sz w:val="16"/>
          <w:szCs w:val="16"/>
        </w:rPr>
        <w:t>项目建设内容以设备购置、房屋及其他建筑物购置为主且附有部分建筑安装工程的，可以简化项目竣工财务决算编报内容、报表格式和批复手续；设备购置、房屋及其他建筑物购置，不用单独编报项目竣工财务决算。</w:t>
      </w:r>
    </w:p>
    <w:p w:rsidR="0061507E" w:rsidRDefault="0061507E" w:rsidP="0061507E">
      <w:pPr>
        <w:pStyle w:val="a3"/>
        <w:spacing w:line="432" w:lineRule="auto"/>
        <w:rPr>
          <w:rFonts w:ascii="ˎ̥" w:hAnsi="ˎ̥"/>
          <w:sz w:val="16"/>
          <w:szCs w:val="16"/>
        </w:rPr>
      </w:pPr>
      <w:r>
        <w:rPr>
          <w:rFonts w:ascii="ˎ̥" w:hAnsi="ˎ̥"/>
          <w:sz w:val="16"/>
          <w:szCs w:val="16"/>
        </w:rPr>
        <w:t xml:space="preserve">　　第十七条</w:t>
      </w:r>
      <w:r>
        <w:rPr>
          <w:rFonts w:ascii="ˎ̥" w:hAnsi="ˎ̥"/>
          <w:sz w:val="16"/>
          <w:szCs w:val="16"/>
        </w:rPr>
        <w:t xml:space="preserve"> </w:t>
      </w:r>
      <w:r>
        <w:rPr>
          <w:rFonts w:ascii="ˎ̥" w:hAnsi="ˎ̥"/>
          <w:sz w:val="16"/>
          <w:szCs w:val="16"/>
        </w:rPr>
        <w:t>财政部门和项目主管部门审核批复项目竣工财务决算时，应当重点审查以下内容：</w:t>
      </w:r>
    </w:p>
    <w:p w:rsidR="0061507E" w:rsidRDefault="0061507E" w:rsidP="0061507E">
      <w:pPr>
        <w:pStyle w:val="a3"/>
        <w:spacing w:line="432" w:lineRule="auto"/>
        <w:rPr>
          <w:rFonts w:ascii="ˎ̥" w:hAnsi="ˎ̥"/>
          <w:sz w:val="16"/>
          <w:szCs w:val="16"/>
        </w:rPr>
      </w:pPr>
      <w:r>
        <w:rPr>
          <w:rFonts w:ascii="ˎ̥" w:hAnsi="ˎ̥"/>
          <w:sz w:val="16"/>
          <w:szCs w:val="16"/>
        </w:rPr>
        <w:t xml:space="preserve">　　（一）工程价款结算是否准确，是否按照合同约定和国家有关规定进行，有无多算和重复计算工程量、高估冒算建筑材料价格现象；</w:t>
      </w:r>
    </w:p>
    <w:p w:rsidR="0061507E" w:rsidRDefault="0061507E" w:rsidP="0061507E">
      <w:pPr>
        <w:pStyle w:val="a3"/>
        <w:spacing w:line="432" w:lineRule="auto"/>
        <w:rPr>
          <w:rFonts w:ascii="ˎ̥" w:hAnsi="ˎ̥"/>
          <w:sz w:val="16"/>
          <w:szCs w:val="16"/>
        </w:rPr>
      </w:pPr>
      <w:r>
        <w:rPr>
          <w:rFonts w:ascii="ˎ̥" w:hAnsi="ˎ̥"/>
          <w:sz w:val="16"/>
          <w:szCs w:val="16"/>
        </w:rPr>
        <w:t xml:space="preserve">　　（二）待摊费用支出及其分摊是否合理、正确；</w:t>
      </w:r>
    </w:p>
    <w:p w:rsidR="0061507E" w:rsidRDefault="0061507E" w:rsidP="0061507E">
      <w:pPr>
        <w:pStyle w:val="a3"/>
        <w:spacing w:line="432" w:lineRule="auto"/>
        <w:rPr>
          <w:rFonts w:ascii="ˎ̥" w:hAnsi="ˎ̥"/>
          <w:sz w:val="16"/>
          <w:szCs w:val="16"/>
        </w:rPr>
      </w:pPr>
      <w:r>
        <w:rPr>
          <w:rFonts w:ascii="ˎ̥" w:hAnsi="ˎ̥"/>
          <w:sz w:val="16"/>
          <w:szCs w:val="16"/>
        </w:rPr>
        <w:t xml:space="preserve">　　（三）项目是否按照批准的概算（预）算内容实施，有无超标准、超规模、超概（预）算建设现象；</w:t>
      </w:r>
    </w:p>
    <w:p w:rsidR="0061507E" w:rsidRDefault="0061507E" w:rsidP="0061507E">
      <w:pPr>
        <w:pStyle w:val="a3"/>
        <w:spacing w:line="432" w:lineRule="auto"/>
        <w:rPr>
          <w:rFonts w:ascii="ˎ̥" w:hAnsi="ˎ̥"/>
          <w:sz w:val="16"/>
          <w:szCs w:val="16"/>
        </w:rPr>
      </w:pPr>
      <w:r>
        <w:rPr>
          <w:rFonts w:ascii="ˎ̥" w:hAnsi="ˎ̥"/>
          <w:sz w:val="16"/>
          <w:szCs w:val="16"/>
        </w:rPr>
        <w:t xml:space="preserve">　　（四）项目资金是否全部到位，核算是否规范，资金使用是否合理，有无挤占、挪用现象；</w:t>
      </w:r>
    </w:p>
    <w:p w:rsidR="0061507E" w:rsidRDefault="0061507E" w:rsidP="0061507E">
      <w:pPr>
        <w:pStyle w:val="a3"/>
        <w:spacing w:line="432" w:lineRule="auto"/>
        <w:rPr>
          <w:rFonts w:ascii="ˎ̥" w:hAnsi="ˎ̥"/>
          <w:sz w:val="16"/>
          <w:szCs w:val="16"/>
        </w:rPr>
      </w:pPr>
      <w:r>
        <w:rPr>
          <w:rFonts w:ascii="ˎ̥" w:hAnsi="ˎ̥"/>
          <w:sz w:val="16"/>
          <w:szCs w:val="16"/>
        </w:rPr>
        <w:lastRenderedPageBreak/>
        <w:t xml:space="preserve">　　（五）项目形成资产是否全面反映，计价是否准确，资产接受单位是否落实；</w:t>
      </w:r>
    </w:p>
    <w:p w:rsidR="0061507E" w:rsidRDefault="0061507E" w:rsidP="0061507E">
      <w:pPr>
        <w:pStyle w:val="a3"/>
        <w:spacing w:line="432" w:lineRule="auto"/>
        <w:rPr>
          <w:rFonts w:ascii="ˎ̥" w:hAnsi="ˎ̥"/>
          <w:sz w:val="16"/>
          <w:szCs w:val="16"/>
        </w:rPr>
      </w:pPr>
      <w:r>
        <w:rPr>
          <w:rFonts w:ascii="ˎ̥" w:hAnsi="ˎ̥"/>
          <w:sz w:val="16"/>
          <w:szCs w:val="16"/>
        </w:rPr>
        <w:t xml:space="preserve">　　（六）项目在建设过程中历次检查和审计所提的重大问题是否已经整改落实；</w:t>
      </w:r>
    </w:p>
    <w:p w:rsidR="0061507E" w:rsidRDefault="0061507E" w:rsidP="0061507E">
      <w:pPr>
        <w:pStyle w:val="a3"/>
        <w:spacing w:line="432" w:lineRule="auto"/>
        <w:rPr>
          <w:rFonts w:ascii="ˎ̥" w:hAnsi="ˎ̥"/>
          <w:sz w:val="16"/>
          <w:szCs w:val="16"/>
        </w:rPr>
      </w:pPr>
      <w:r>
        <w:rPr>
          <w:rFonts w:ascii="ˎ̥" w:hAnsi="ˎ̥"/>
          <w:sz w:val="16"/>
          <w:szCs w:val="16"/>
        </w:rPr>
        <w:t xml:space="preserve">　　（七）待核销基建支出和转出投资有无依据，是否合理；</w:t>
      </w:r>
    </w:p>
    <w:p w:rsidR="0061507E" w:rsidRDefault="0061507E" w:rsidP="0061507E">
      <w:pPr>
        <w:pStyle w:val="a3"/>
        <w:spacing w:line="432" w:lineRule="auto"/>
        <w:rPr>
          <w:rFonts w:ascii="ˎ̥" w:hAnsi="ˎ̥"/>
          <w:sz w:val="16"/>
          <w:szCs w:val="16"/>
        </w:rPr>
      </w:pPr>
      <w:r>
        <w:rPr>
          <w:rFonts w:ascii="ˎ̥" w:hAnsi="ˎ̥"/>
          <w:sz w:val="16"/>
          <w:szCs w:val="16"/>
        </w:rPr>
        <w:t xml:space="preserve">　　（八）竣工财务决算报表所填列的数据是否完整，表间勾稽关系是否清晰、正确；</w:t>
      </w:r>
    </w:p>
    <w:p w:rsidR="0061507E" w:rsidRDefault="0061507E" w:rsidP="0061507E">
      <w:pPr>
        <w:pStyle w:val="a3"/>
        <w:spacing w:line="432" w:lineRule="auto"/>
        <w:rPr>
          <w:rFonts w:ascii="ˎ̥" w:hAnsi="ˎ̥"/>
          <w:sz w:val="16"/>
          <w:szCs w:val="16"/>
        </w:rPr>
      </w:pPr>
      <w:r>
        <w:rPr>
          <w:rFonts w:ascii="ˎ̥" w:hAnsi="ˎ̥"/>
          <w:sz w:val="16"/>
          <w:szCs w:val="16"/>
        </w:rPr>
        <w:t xml:space="preserve">　　（九）尾工工程及预留费用是否控制在概算确定的范围内，预留的金额和比例是否合理；</w:t>
      </w:r>
    </w:p>
    <w:p w:rsidR="0061507E" w:rsidRDefault="0061507E" w:rsidP="0061507E">
      <w:pPr>
        <w:pStyle w:val="a3"/>
        <w:spacing w:line="432" w:lineRule="auto"/>
        <w:rPr>
          <w:rFonts w:ascii="ˎ̥" w:hAnsi="ˎ̥"/>
          <w:sz w:val="16"/>
          <w:szCs w:val="16"/>
        </w:rPr>
      </w:pPr>
      <w:r>
        <w:rPr>
          <w:rFonts w:ascii="ˎ̥" w:hAnsi="ˎ̥"/>
          <w:sz w:val="16"/>
          <w:szCs w:val="16"/>
        </w:rPr>
        <w:t xml:space="preserve">　　（十）项目建设是否履行基本建设程序，是否符合国家有关建设管理制度要求等；</w:t>
      </w:r>
    </w:p>
    <w:p w:rsidR="0061507E" w:rsidRDefault="0061507E" w:rsidP="0061507E">
      <w:pPr>
        <w:pStyle w:val="a3"/>
        <w:spacing w:line="432" w:lineRule="auto"/>
        <w:rPr>
          <w:rFonts w:ascii="ˎ̥" w:hAnsi="ˎ̥"/>
          <w:sz w:val="16"/>
          <w:szCs w:val="16"/>
        </w:rPr>
      </w:pPr>
      <w:r>
        <w:rPr>
          <w:rFonts w:ascii="ˎ̥" w:hAnsi="ˎ̥"/>
          <w:sz w:val="16"/>
          <w:szCs w:val="16"/>
        </w:rPr>
        <w:t xml:space="preserve">　　（十一）决算的内容和格式是否符合国家有关规定；</w:t>
      </w:r>
    </w:p>
    <w:p w:rsidR="0061507E" w:rsidRDefault="0061507E" w:rsidP="0061507E">
      <w:pPr>
        <w:pStyle w:val="a3"/>
        <w:spacing w:line="432" w:lineRule="auto"/>
        <w:rPr>
          <w:rFonts w:ascii="ˎ̥" w:hAnsi="ˎ̥"/>
          <w:sz w:val="16"/>
          <w:szCs w:val="16"/>
        </w:rPr>
      </w:pPr>
      <w:r>
        <w:rPr>
          <w:rFonts w:ascii="ˎ̥" w:hAnsi="ˎ̥"/>
          <w:sz w:val="16"/>
          <w:szCs w:val="16"/>
        </w:rPr>
        <w:t xml:space="preserve">　　（十二）决算资料报送是否完整、决算数据间是否存在错误；</w:t>
      </w:r>
    </w:p>
    <w:p w:rsidR="0061507E" w:rsidRDefault="0061507E" w:rsidP="0061507E">
      <w:pPr>
        <w:pStyle w:val="a3"/>
        <w:spacing w:line="432" w:lineRule="auto"/>
        <w:rPr>
          <w:rFonts w:ascii="ˎ̥" w:hAnsi="ˎ̥"/>
          <w:sz w:val="16"/>
          <w:szCs w:val="16"/>
        </w:rPr>
      </w:pPr>
      <w:r>
        <w:rPr>
          <w:rFonts w:ascii="ˎ̥" w:hAnsi="ˎ̥"/>
          <w:sz w:val="16"/>
          <w:szCs w:val="16"/>
        </w:rPr>
        <w:t xml:space="preserve">　　（十三）相关主管部门或者第三方专业机构是否出具审核意见。</w:t>
      </w:r>
    </w:p>
    <w:p w:rsidR="0061507E" w:rsidRDefault="0061507E" w:rsidP="0061507E">
      <w:pPr>
        <w:pStyle w:val="a3"/>
        <w:spacing w:line="432" w:lineRule="auto"/>
        <w:rPr>
          <w:rFonts w:ascii="ˎ̥" w:hAnsi="ˎ̥"/>
          <w:sz w:val="16"/>
          <w:szCs w:val="16"/>
        </w:rPr>
      </w:pPr>
      <w:r>
        <w:rPr>
          <w:rFonts w:ascii="ˎ̥" w:hAnsi="ˎ̥"/>
          <w:sz w:val="16"/>
          <w:szCs w:val="16"/>
        </w:rPr>
        <w:t xml:space="preserve">　　第十八条</w:t>
      </w:r>
      <w:r>
        <w:rPr>
          <w:rFonts w:ascii="ˎ̥" w:hAnsi="ˎ̥"/>
          <w:sz w:val="16"/>
          <w:szCs w:val="16"/>
        </w:rPr>
        <w:t xml:space="preserve"> </w:t>
      </w:r>
      <w:r>
        <w:rPr>
          <w:rFonts w:ascii="ˎ̥" w:hAnsi="ˎ̥"/>
          <w:sz w:val="16"/>
          <w:szCs w:val="16"/>
        </w:rPr>
        <w:t>财政部对授权主管部门批复的中央项目竣工财务决算实行抽查制度。</w:t>
      </w:r>
    </w:p>
    <w:p w:rsidR="0061507E" w:rsidRDefault="0061507E" w:rsidP="0061507E">
      <w:pPr>
        <w:pStyle w:val="a3"/>
        <w:spacing w:line="432" w:lineRule="auto"/>
        <w:rPr>
          <w:rFonts w:ascii="ˎ̥" w:hAnsi="ˎ̥"/>
          <w:sz w:val="16"/>
          <w:szCs w:val="16"/>
        </w:rPr>
      </w:pPr>
      <w:r>
        <w:rPr>
          <w:rFonts w:ascii="ˎ̥" w:hAnsi="ˎ̥"/>
          <w:sz w:val="16"/>
          <w:szCs w:val="16"/>
        </w:rPr>
        <w:t xml:space="preserve">　　第十九条</w:t>
      </w:r>
      <w:r>
        <w:rPr>
          <w:rFonts w:ascii="ˎ̥" w:hAnsi="ˎ̥"/>
          <w:sz w:val="16"/>
          <w:szCs w:val="16"/>
        </w:rPr>
        <w:t xml:space="preserve"> </w:t>
      </w:r>
      <w:r>
        <w:rPr>
          <w:rFonts w:ascii="ˎ̥" w:hAnsi="ˎ̥"/>
          <w:sz w:val="16"/>
          <w:szCs w:val="16"/>
        </w:rPr>
        <w:t>项目竣工后应当及时办理资金清算和资产交付手续，并依据项目竣工财务决算批复意见办理产权登记和有关资产入账或调账。</w:t>
      </w:r>
    </w:p>
    <w:p w:rsidR="0061507E" w:rsidRDefault="0061507E" w:rsidP="0061507E">
      <w:pPr>
        <w:pStyle w:val="a3"/>
        <w:spacing w:line="432" w:lineRule="auto"/>
        <w:rPr>
          <w:rFonts w:ascii="ˎ̥" w:hAnsi="ˎ̥"/>
          <w:sz w:val="16"/>
          <w:szCs w:val="16"/>
        </w:rPr>
      </w:pPr>
      <w:r>
        <w:rPr>
          <w:rFonts w:ascii="ˎ̥" w:hAnsi="ˎ̥"/>
          <w:sz w:val="16"/>
          <w:szCs w:val="16"/>
        </w:rPr>
        <w:t xml:space="preserve">　　第二十条</w:t>
      </w:r>
      <w:r>
        <w:rPr>
          <w:rFonts w:ascii="ˎ̥" w:hAnsi="ˎ̥"/>
          <w:sz w:val="16"/>
          <w:szCs w:val="16"/>
        </w:rPr>
        <w:t xml:space="preserve"> </w:t>
      </w:r>
      <w:r>
        <w:rPr>
          <w:rFonts w:ascii="ˎ̥" w:hAnsi="ˎ̥"/>
          <w:sz w:val="16"/>
          <w:szCs w:val="16"/>
        </w:rPr>
        <w:t>项目建设单位经批准使用项目资金购买的车辆、办公设备等自用固定资产，项目完工时按下列情况进行财务处理：</w:t>
      </w:r>
    </w:p>
    <w:p w:rsidR="0061507E" w:rsidRDefault="0061507E" w:rsidP="0061507E">
      <w:pPr>
        <w:pStyle w:val="a3"/>
        <w:spacing w:line="432" w:lineRule="auto"/>
        <w:rPr>
          <w:rFonts w:ascii="ˎ̥" w:hAnsi="ˎ̥"/>
          <w:sz w:val="16"/>
          <w:szCs w:val="16"/>
        </w:rPr>
      </w:pPr>
      <w:r>
        <w:rPr>
          <w:rFonts w:ascii="ˎ̥" w:hAnsi="ˎ̥"/>
          <w:sz w:val="16"/>
          <w:szCs w:val="16"/>
        </w:rPr>
        <w:t xml:space="preserve">　　资产直接交付使用单位的，按设备投资支出转入交付使用。其中，计提折旧的自用固定资产，按固定资产购置成本扣除累计折旧后的金额转入交付使用，项目建设期间计提的折旧费用作为待摊投资支出分摊到相关资产价值；不计提折旧的自用固定资产，按固定资产购置成本转入交付使用。</w:t>
      </w:r>
    </w:p>
    <w:p w:rsidR="0061507E" w:rsidRDefault="0061507E" w:rsidP="0061507E">
      <w:pPr>
        <w:pStyle w:val="a3"/>
        <w:spacing w:line="432" w:lineRule="auto"/>
        <w:rPr>
          <w:rFonts w:ascii="ˎ̥" w:hAnsi="ˎ̥"/>
          <w:sz w:val="16"/>
          <w:szCs w:val="16"/>
        </w:rPr>
      </w:pPr>
      <w:r>
        <w:rPr>
          <w:rFonts w:ascii="ˎ̥" w:hAnsi="ˎ̥"/>
          <w:sz w:val="16"/>
          <w:szCs w:val="16"/>
        </w:rPr>
        <w:lastRenderedPageBreak/>
        <w:t xml:space="preserve">　　资产在交付使用单位前公开变价处置的，项目建设期间计提的折旧费用和固定资产清理净损益（即公开变价金额与扣除所提折旧后设备净值之间的差额）计入待摊投资，不计提自用固定资产折旧的项目，按公开变价金额与购置成本之间的差额作为待摊投资支出分摊到相关资产价值。</w:t>
      </w:r>
    </w:p>
    <w:p w:rsidR="0061507E" w:rsidRDefault="0061507E" w:rsidP="0061507E">
      <w:pPr>
        <w:pStyle w:val="a3"/>
        <w:spacing w:line="432" w:lineRule="auto"/>
        <w:rPr>
          <w:rFonts w:ascii="ˎ̥" w:hAnsi="ˎ̥"/>
          <w:sz w:val="16"/>
          <w:szCs w:val="16"/>
        </w:rPr>
      </w:pPr>
      <w:r>
        <w:rPr>
          <w:rFonts w:ascii="ˎ̥" w:hAnsi="ˎ̥"/>
          <w:sz w:val="16"/>
          <w:szCs w:val="16"/>
        </w:rPr>
        <w:t xml:space="preserve">　　第二十一条</w:t>
      </w:r>
      <w:r>
        <w:rPr>
          <w:rFonts w:ascii="ˎ̥" w:hAnsi="ˎ̥"/>
          <w:sz w:val="16"/>
          <w:szCs w:val="16"/>
        </w:rPr>
        <w:t xml:space="preserve"> </w:t>
      </w:r>
      <w:r>
        <w:rPr>
          <w:rFonts w:ascii="ˎ̥" w:hAnsi="ˎ̥"/>
          <w:sz w:val="16"/>
          <w:szCs w:val="16"/>
        </w:rPr>
        <w:t>本办法自</w:t>
      </w:r>
      <w:r>
        <w:rPr>
          <w:rFonts w:ascii="ˎ̥" w:hAnsi="ˎ̥"/>
          <w:sz w:val="16"/>
          <w:szCs w:val="16"/>
        </w:rPr>
        <w:t>2016</w:t>
      </w:r>
      <w:r>
        <w:rPr>
          <w:rFonts w:ascii="ˎ̥" w:hAnsi="ˎ̥"/>
          <w:sz w:val="16"/>
          <w:szCs w:val="16"/>
        </w:rPr>
        <w:t>年</w:t>
      </w:r>
      <w:r>
        <w:rPr>
          <w:rFonts w:ascii="ˎ̥" w:hAnsi="ˎ̥"/>
          <w:sz w:val="16"/>
          <w:szCs w:val="16"/>
        </w:rPr>
        <w:t>9</w:t>
      </w:r>
      <w:r>
        <w:rPr>
          <w:rFonts w:ascii="ˎ̥" w:hAnsi="ˎ̥"/>
          <w:sz w:val="16"/>
          <w:szCs w:val="16"/>
        </w:rPr>
        <w:t>月</w:t>
      </w:r>
      <w:r>
        <w:rPr>
          <w:rFonts w:ascii="ˎ̥" w:hAnsi="ˎ̥"/>
          <w:sz w:val="16"/>
          <w:szCs w:val="16"/>
        </w:rPr>
        <w:t>1</w:t>
      </w:r>
      <w:r>
        <w:rPr>
          <w:rFonts w:ascii="ˎ̥" w:hAnsi="ˎ̥"/>
          <w:sz w:val="16"/>
          <w:szCs w:val="16"/>
        </w:rPr>
        <w:t>日起施行。《财政部关于加强和改进政府性基金年度决算和中央大中型基建项目竣工财务决算审批的通知》</w:t>
      </w:r>
      <w:r>
        <w:rPr>
          <w:rFonts w:ascii="ˎ̥" w:hAnsi="ˎ̥"/>
          <w:sz w:val="16"/>
          <w:szCs w:val="16"/>
        </w:rPr>
        <w:t>(</w:t>
      </w:r>
      <w:r>
        <w:rPr>
          <w:rFonts w:ascii="ˎ̥" w:hAnsi="ˎ̥"/>
          <w:sz w:val="16"/>
          <w:szCs w:val="16"/>
        </w:rPr>
        <w:t>财建〔</w:t>
      </w:r>
      <w:r>
        <w:rPr>
          <w:rFonts w:ascii="ˎ̥" w:hAnsi="ˎ̥"/>
          <w:sz w:val="16"/>
          <w:szCs w:val="16"/>
        </w:rPr>
        <w:t>2002</w:t>
      </w:r>
      <w:r>
        <w:rPr>
          <w:rFonts w:ascii="ˎ̥" w:hAnsi="ˎ̥"/>
          <w:sz w:val="16"/>
          <w:szCs w:val="16"/>
        </w:rPr>
        <w:t>〕</w:t>
      </w:r>
      <w:r>
        <w:rPr>
          <w:rFonts w:ascii="ˎ̥" w:hAnsi="ˎ̥"/>
          <w:sz w:val="16"/>
          <w:szCs w:val="16"/>
        </w:rPr>
        <w:t>26</w:t>
      </w:r>
      <w:r>
        <w:rPr>
          <w:rFonts w:ascii="ˎ̥" w:hAnsi="ˎ̥"/>
          <w:sz w:val="16"/>
          <w:szCs w:val="16"/>
        </w:rPr>
        <w:t>号</w:t>
      </w:r>
      <w:r>
        <w:rPr>
          <w:rFonts w:ascii="ˎ̥" w:hAnsi="ˎ̥"/>
          <w:sz w:val="16"/>
          <w:szCs w:val="16"/>
        </w:rPr>
        <w:t>)</w:t>
      </w:r>
      <w:r>
        <w:rPr>
          <w:rFonts w:ascii="ˎ̥" w:hAnsi="ˎ̥"/>
          <w:sz w:val="16"/>
          <w:szCs w:val="16"/>
        </w:rPr>
        <w:t>和《财政部关于进一步加强中央基本建设项目竣工财务决算工作的通知》（财办建〔</w:t>
      </w:r>
      <w:r>
        <w:rPr>
          <w:rFonts w:ascii="ˎ̥" w:hAnsi="ˎ̥"/>
          <w:sz w:val="16"/>
          <w:szCs w:val="16"/>
        </w:rPr>
        <w:t>2008</w:t>
      </w:r>
      <w:r>
        <w:rPr>
          <w:rFonts w:ascii="ˎ̥" w:hAnsi="ˎ̥"/>
          <w:sz w:val="16"/>
          <w:szCs w:val="16"/>
        </w:rPr>
        <w:t>〕</w:t>
      </w:r>
      <w:r>
        <w:rPr>
          <w:rFonts w:ascii="ˎ̥" w:hAnsi="ˎ̥"/>
          <w:sz w:val="16"/>
          <w:szCs w:val="16"/>
        </w:rPr>
        <w:t>91</w:t>
      </w:r>
      <w:r>
        <w:rPr>
          <w:rFonts w:ascii="ˎ̥" w:hAnsi="ˎ̥"/>
          <w:sz w:val="16"/>
          <w:szCs w:val="16"/>
        </w:rPr>
        <w:t>号）同时废止。</w:t>
      </w:r>
    </w:p>
    <w:p w:rsidR="0061507E" w:rsidRDefault="0061507E" w:rsidP="0061507E">
      <w:pPr>
        <w:pStyle w:val="a3"/>
        <w:spacing w:line="432" w:lineRule="auto"/>
        <w:rPr>
          <w:rFonts w:ascii="ˎ̥" w:hAnsi="ˎ̥"/>
          <w:sz w:val="16"/>
          <w:szCs w:val="16"/>
        </w:rPr>
      </w:pPr>
      <w:r>
        <w:rPr>
          <w:rFonts w:ascii="ˎ̥" w:hAnsi="ˎ̥"/>
          <w:sz w:val="16"/>
          <w:szCs w:val="16"/>
        </w:rPr>
        <w:t xml:space="preserve">　　附表</w:t>
      </w:r>
      <w:r>
        <w:rPr>
          <w:rFonts w:ascii="ˎ̥" w:hAnsi="ˎ̥"/>
          <w:sz w:val="16"/>
          <w:szCs w:val="16"/>
        </w:rPr>
        <w:t>1</w:t>
      </w:r>
      <w:r>
        <w:rPr>
          <w:rFonts w:ascii="ˎ̥" w:hAnsi="ˎ̥"/>
          <w:sz w:val="16"/>
          <w:szCs w:val="16"/>
        </w:rPr>
        <w:t>：基本建设项目竣工财务决算报表</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1.</w:t>
      </w:r>
      <w:r>
        <w:rPr>
          <w:rFonts w:ascii="ˎ̥" w:hAnsi="ˎ̥"/>
          <w:sz w:val="16"/>
          <w:szCs w:val="16"/>
        </w:rPr>
        <w:t>项目概况表（</w:t>
      </w:r>
      <w:r>
        <w:rPr>
          <w:rFonts w:ascii="ˎ̥" w:hAnsi="ˎ̥"/>
          <w:sz w:val="16"/>
          <w:szCs w:val="16"/>
        </w:rPr>
        <w:t>1-1</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2.</w:t>
      </w:r>
      <w:r>
        <w:rPr>
          <w:rFonts w:ascii="ˎ̥" w:hAnsi="ˎ̥"/>
          <w:sz w:val="16"/>
          <w:szCs w:val="16"/>
        </w:rPr>
        <w:t>项目竣工财务决算表（</w:t>
      </w:r>
      <w:r>
        <w:rPr>
          <w:rFonts w:ascii="ˎ̥" w:hAnsi="ˎ̥"/>
          <w:sz w:val="16"/>
          <w:szCs w:val="16"/>
        </w:rPr>
        <w:t>1-2</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3.</w:t>
      </w:r>
      <w:r>
        <w:rPr>
          <w:rFonts w:ascii="ˎ̥" w:hAnsi="ˎ̥"/>
          <w:sz w:val="16"/>
          <w:szCs w:val="16"/>
        </w:rPr>
        <w:t>资金情况明细表（</w:t>
      </w:r>
      <w:r>
        <w:rPr>
          <w:rFonts w:ascii="ˎ̥" w:hAnsi="ˎ̥"/>
          <w:sz w:val="16"/>
          <w:szCs w:val="16"/>
        </w:rPr>
        <w:t>1-3</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4.</w:t>
      </w:r>
      <w:r>
        <w:rPr>
          <w:rFonts w:ascii="ˎ̥" w:hAnsi="ˎ̥"/>
          <w:sz w:val="16"/>
          <w:szCs w:val="16"/>
        </w:rPr>
        <w:t>交付使用资产总表</w:t>
      </w:r>
      <w:r>
        <w:rPr>
          <w:rFonts w:ascii="ˎ̥" w:hAnsi="ˎ̥"/>
          <w:sz w:val="16"/>
          <w:szCs w:val="16"/>
        </w:rPr>
        <w:t xml:space="preserve"> </w:t>
      </w:r>
      <w:r>
        <w:rPr>
          <w:rFonts w:ascii="ˎ̥" w:hAnsi="ˎ̥"/>
          <w:sz w:val="16"/>
          <w:szCs w:val="16"/>
        </w:rPr>
        <w:t>（</w:t>
      </w:r>
      <w:r>
        <w:rPr>
          <w:rFonts w:ascii="ˎ̥" w:hAnsi="ˎ̥"/>
          <w:sz w:val="16"/>
          <w:szCs w:val="16"/>
        </w:rPr>
        <w:t>1-4</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5.</w:t>
      </w:r>
      <w:r>
        <w:rPr>
          <w:rFonts w:ascii="ˎ̥" w:hAnsi="ˎ̥"/>
          <w:sz w:val="16"/>
          <w:szCs w:val="16"/>
        </w:rPr>
        <w:t>交付使用资产明细表</w:t>
      </w:r>
      <w:r>
        <w:rPr>
          <w:rFonts w:ascii="ˎ̥" w:hAnsi="ˎ̥"/>
          <w:sz w:val="16"/>
          <w:szCs w:val="16"/>
        </w:rPr>
        <w:t xml:space="preserve"> </w:t>
      </w:r>
      <w:r>
        <w:rPr>
          <w:rFonts w:ascii="ˎ̥" w:hAnsi="ˎ̥"/>
          <w:sz w:val="16"/>
          <w:szCs w:val="16"/>
        </w:rPr>
        <w:t>（</w:t>
      </w:r>
      <w:r>
        <w:rPr>
          <w:rFonts w:ascii="ˎ̥" w:hAnsi="ˎ̥"/>
          <w:sz w:val="16"/>
          <w:szCs w:val="16"/>
        </w:rPr>
        <w:t>1-5</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6.</w:t>
      </w:r>
      <w:r>
        <w:rPr>
          <w:rFonts w:ascii="ˎ̥" w:hAnsi="ˎ̥"/>
          <w:sz w:val="16"/>
          <w:szCs w:val="16"/>
        </w:rPr>
        <w:t>待摊投资明细表（</w:t>
      </w:r>
      <w:r>
        <w:rPr>
          <w:rFonts w:ascii="ˎ̥" w:hAnsi="ˎ̥"/>
          <w:sz w:val="16"/>
          <w:szCs w:val="16"/>
        </w:rPr>
        <w:t>1-6</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7.</w:t>
      </w:r>
      <w:r>
        <w:rPr>
          <w:rFonts w:ascii="ˎ̥" w:hAnsi="ˎ̥"/>
          <w:sz w:val="16"/>
          <w:szCs w:val="16"/>
        </w:rPr>
        <w:t>待核销基建支出明细表（</w:t>
      </w:r>
      <w:r>
        <w:rPr>
          <w:rFonts w:ascii="ˎ̥" w:hAnsi="ˎ̥"/>
          <w:sz w:val="16"/>
          <w:szCs w:val="16"/>
        </w:rPr>
        <w:t>1-7</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8.</w:t>
      </w:r>
      <w:r>
        <w:rPr>
          <w:rFonts w:ascii="ˎ̥" w:hAnsi="ˎ̥"/>
          <w:sz w:val="16"/>
          <w:szCs w:val="16"/>
        </w:rPr>
        <w:t>转出投资明细表（</w:t>
      </w:r>
      <w:r>
        <w:rPr>
          <w:rFonts w:ascii="ˎ̥" w:hAnsi="ˎ̥"/>
          <w:sz w:val="16"/>
          <w:szCs w:val="16"/>
        </w:rPr>
        <w:t>1-8</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附表</w:t>
      </w:r>
      <w:r>
        <w:rPr>
          <w:rFonts w:ascii="ˎ̥" w:hAnsi="ˎ̥"/>
          <w:sz w:val="16"/>
          <w:szCs w:val="16"/>
        </w:rPr>
        <w:t>2</w:t>
      </w:r>
      <w:r>
        <w:rPr>
          <w:rFonts w:ascii="ˎ̥" w:hAnsi="ˎ̥"/>
          <w:sz w:val="16"/>
          <w:szCs w:val="16"/>
        </w:rPr>
        <w:t>：基本建设项目竣工财务决算审核表</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1.</w:t>
      </w:r>
      <w:r>
        <w:rPr>
          <w:rFonts w:ascii="ˎ̥" w:hAnsi="ˎ̥"/>
          <w:sz w:val="16"/>
          <w:szCs w:val="16"/>
        </w:rPr>
        <w:t>项目竣工财务决算审核汇总表（</w:t>
      </w:r>
      <w:r>
        <w:rPr>
          <w:rFonts w:ascii="ˎ̥" w:hAnsi="ˎ̥"/>
          <w:sz w:val="16"/>
          <w:szCs w:val="16"/>
        </w:rPr>
        <w:t>2-1</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2.</w:t>
      </w:r>
      <w:r>
        <w:rPr>
          <w:rFonts w:ascii="ˎ̥" w:hAnsi="ˎ̥"/>
          <w:sz w:val="16"/>
          <w:szCs w:val="16"/>
        </w:rPr>
        <w:t>资金情况审核明细表（</w:t>
      </w:r>
      <w:r>
        <w:rPr>
          <w:rFonts w:ascii="ˎ̥" w:hAnsi="ˎ̥"/>
          <w:sz w:val="16"/>
          <w:szCs w:val="16"/>
        </w:rPr>
        <w:t>2-2</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lastRenderedPageBreak/>
        <w:t xml:space="preserve">　　</w:t>
      </w:r>
      <w:r>
        <w:rPr>
          <w:rFonts w:ascii="ˎ̥" w:hAnsi="ˎ̥"/>
          <w:sz w:val="16"/>
          <w:szCs w:val="16"/>
        </w:rPr>
        <w:t>3.</w:t>
      </w:r>
      <w:r>
        <w:rPr>
          <w:rFonts w:ascii="ˎ̥" w:hAnsi="ˎ̥"/>
          <w:sz w:val="16"/>
          <w:szCs w:val="16"/>
        </w:rPr>
        <w:t>待摊投资审核明细表（</w:t>
      </w:r>
      <w:r>
        <w:rPr>
          <w:rFonts w:ascii="ˎ̥" w:hAnsi="ˎ̥"/>
          <w:sz w:val="16"/>
          <w:szCs w:val="16"/>
        </w:rPr>
        <w:t>2-3</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4.</w:t>
      </w:r>
      <w:r>
        <w:rPr>
          <w:rFonts w:ascii="ˎ̥" w:hAnsi="ˎ̥"/>
          <w:sz w:val="16"/>
          <w:szCs w:val="16"/>
        </w:rPr>
        <w:t>交付使用资产审核明细表（</w:t>
      </w:r>
      <w:r>
        <w:rPr>
          <w:rFonts w:ascii="ˎ̥" w:hAnsi="ˎ̥"/>
          <w:sz w:val="16"/>
          <w:szCs w:val="16"/>
        </w:rPr>
        <w:t>2-4</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5.</w:t>
      </w:r>
      <w:r>
        <w:rPr>
          <w:rFonts w:ascii="ˎ̥" w:hAnsi="ˎ̥"/>
          <w:sz w:val="16"/>
          <w:szCs w:val="16"/>
        </w:rPr>
        <w:t>转出投资审核明细表（</w:t>
      </w:r>
      <w:r>
        <w:rPr>
          <w:rFonts w:ascii="ˎ̥" w:hAnsi="ˎ̥"/>
          <w:sz w:val="16"/>
          <w:szCs w:val="16"/>
        </w:rPr>
        <w:t>2-5</w:t>
      </w:r>
      <w:r>
        <w:rPr>
          <w:rFonts w:ascii="ˎ̥" w:hAnsi="ˎ̥"/>
          <w:sz w:val="16"/>
          <w:szCs w:val="16"/>
        </w:rPr>
        <w:t>）</w:t>
      </w:r>
    </w:p>
    <w:p w:rsidR="0061507E" w:rsidRDefault="0061507E" w:rsidP="0061507E">
      <w:pPr>
        <w:pStyle w:val="a3"/>
        <w:spacing w:line="432" w:lineRule="auto"/>
        <w:rPr>
          <w:rFonts w:ascii="ˎ̥" w:hAnsi="ˎ̥"/>
          <w:sz w:val="16"/>
          <w:szCs w:val="16"/>
        </w:rPr>
      </w:pPr>
      <w:r>
        <w:rPr>
          <w:rFonts w:ascii="ˎ̥" w:hAnsi="ˎ̥"/>
          <w:sz w:val="16"/>
          <w:szCs w:val="16"/>
        </w:rPr>
        <w:t xml:space="preserve">　　</w:t>
      </w:r>
      <w:r>
        <w:rPr>
          <w:rFonts w:ascii="ˎ̥" w:hAnsi="ˎ̥"/>
          <w:sz w:val="16"/>
          <w:szCs w:val="16"/>
        </w:rPr>
        <w:t>6.</w:t>
      </w:r>
      <w:r>
        <w:rPr>
          <w:rFonts w:ascii="ˎ̥" w:hAnsi="ˎ̥"/>
          <w:sz w:val="16"/>
          <w:szCs w:val="16"/>
        </w:rPr>
        <w:t>待销核基建支出审核明细表（</w:t>
      </w:r>
      <w:r>
        <w:rPr>
          <w:rFonts w:ascii="ˎ̥" w:hAnsi="ˎ̥"/>
          <w:sz w:val="16"/>
          <w:szCs w:val="16"/>
        </w:rPr>
        <w:t>2-6</w:t>
      </w:r>
      <w:r>
        <w:rPr>
          <w:rFonts w:ascii="ˎ̥" w:hAnsi="ˎ̥"/>
          <w:sz w:val="16"/>
          <w:szCs w:val="16"/>
        </w:rPr>
        <w:t>）</w:t>
      </w:r>
    </w:p>
    <w:sectPr w:rsidR="0061507E" w:rsidSect="00DA00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93ED7"/>
    <w:multiLevelType w:val="multilevel"/>
    <w:tmpl w:val="167E4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A06B01"/>
    <w:multiLevelType w:val="multilevel"/>
    <w:tmpl w:val="E4784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5D0208"/>
    <w:multiLevelType w:val="multilevel"/>
    <w:tmpl w:val="1210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A006EB"/>
    <w:multiLevelType w:val="multilevel"/>
    <w:tmpl w:val="2768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892AD5"/>
    <w:multiLevelType w:val="multilevel"/>
    <w:tmpl w:val="CDAE4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81A68"/>
    <w:rsid w:val="0030628A"/>
    <w:rsid w:val="005D1F9B"/>
    <w:rsid w:val="0061507E"/>
    <w:rsid w:val="00781A68"/>
    <w:rsid w:val="00824473"/>
    <w:rsid w:val="008D7584"/>
    <w:rsid w:val="00944189"/>
    <w:rsid w:val="00C572E4"/>
    <w:rsid w:val="00D738D4"/>
    <w:rsid w:val="00DA0094"/>
    <w:rsid w:val="00E96BA2"/>
    <w:rsid w:val="00EA65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094"/>
    <w:pPr>
      <w:widowControl w:val="0"/>
      <w:jc w:val="both"/>
    </w:pPr>
  </w:style>
  <w:style w:type="paragraph" w:styleId="1">
    <w:name w:val="heading 1"/>
    <w:basedOn w:val="a"/>
    <w:link w:val="1Char"/>
    <w:uiPriority w:val="9"/>
    <w:qFormat/>
    <w:rsid w:val="008D7584"/>
    <w:pPr>
      <w:widowControl/>
      <w:spacing w:line="560" w:lineRule="atLeast"/>
      <w:jc w:val="center"/>
      <w:outlineLvl w:val="0"/>
    </w:pPr>
    <w:rPr>
      <w:rFonts w:ascii="微软雅黑" w:eastAsia="微软雅黑" w:hAnsi="微软雅黑" w:cs="宋体"/>
      <w:kern w:val="36"/>
      <w:sz w:val="38"/>
      <w:szCs w:val="3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
    <w:name w:val="font1"/>
    <w:basedOn w:val="a0"/>
    <w:rsid w:val="00781A68"/>
  </w:style>
  <w:style w:type="paragraph" w:styleId="a3">
    <w:name w:val="Normal (Web)"/>
    <w:basedOn w:val="a"/>
    <w:uiPriority w:val="99"/>
    <w:unhideWhenUsed/>
    <w:rsid w:val="00D738D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C572E4"/>
    <w:rPr>
      <w:strike w:val="0"/>
      <w:dstrike w:val="0"/>
      <w:color w:val="000000"/>
      <w:sz w:val="12"/>
      <w:szCs w:val="12"/>
      <w:u w:val="none"/>
      <w:effect w:val="none"/>
    </w:rPr>
  </w:style>
  <w:style w:type="character" w:customStyle="1" w:styleId="1Char">
    <w:name w:val="标题 1 Char"/>
    <w:basedOn w:val="a0"/>
    <w:link w:val="1"/>
    <w:uiPriority w:val="9"/>
    <w:rsid w:val="008D7584"/>
    <w:rPr>
      <w:rFonts w:ascii="微软雅黑" w:eastAsia="微软雅黑" w:hAnsi="微软雅黑" w:cs="宋体"/>
      <w:kern w:val="36"/>
      <w:sz w:val="38"/>
      <w:szCs w:val="38"/>
    </w:rPr>
  </w:style>
  <w:style w:type="character" w:styleId="a5">
    <w:name w:val="Strong"/>
    <w:basedOn w:val="a0"/>
    <w:uiPriority w:val="22"/>
    <w:qFormat/>
    <w:rsid w:val="0061507E"/>
    <w:rPr>
      <w:b/>
      <w:bCs/>
    </w:rPr>
  </w:style>
</w:styles>
</file>

<file path=word/webSettings.xml><?xml version="1.0" encoding="utf-8"?>
<w:webSettings xmlns:r="http://schemas.openxmlformats.org/officeDocument/2006/relationships" xmlns:w="http://schemas.openxmlformats.org/wordprocessingml/2006/main">
  <w:divs>
    <w:div w:id="520558577">
      <w:bodyDiv w:val="1"/>
      <w:marLeft w:val="0"/>
      <w:marRight w:val="0"/>
      <w:marTop w:val="0"/>
      <w:marBottom w:val="0"/>
      <w:divBdr>
        <w:top w:val="none" w:sz="0" w:space="0" w:color="auto"/>
        <w:left w:val="none" w:sz="0" w:space="0" w:color="auto"/>
        <w:bottom w:val="none" w:sz="0" w:space="0" w:color="auto"/>
        <w:right w:val="none" w:sz="0" w:space="0" w:color="auto"/>
      </w:divBdr>
      <w:divsChild>
        <w:div w:id="1916161260">
          <w:marLeft w:val="0"/>
          <w:marRight w:val="0"/>
          <w:marTop w:val="0"/>
          <w:marBottom w:val="0"/>
          <w:divBdr>
            <w:top w:val="none" w:sz="0" w:space="0" w:color="auto"/>
            <w:left w:val="none" w:sz="0" w:space="0" w:color="auto"/>
            <w:bottom w:val="none" w:sz="0" w:space="0" w:color="auto"/>
            <w:right w:val="none" w:sz="0" w:space="0" w:color="auto"/>
          </w:divBdr>
        </w:div>
      </w:divsChild>
    </w:div>
    <w:div w:id="762997236">
      <w:bodyDiv w:val="1"/>
      <w:marLeft w:val="0"/>
      <w:marRight w:val="0"/>
      <w:marTop w:val="0"/>
      <w:marBottom w:val="0"/>
      <w:divBdr>
        <w:top w:val="none" w:sz="0" w:space="0" w:color="auto"/>
        <w:left w:val="none" w:sz="0" w:space="0" w:color="auto"/>
        <w:bottom w:val="none" w:sz="0" w:space="0" w:color="auto"/>
        <w:right w:val="none" w:sz="0" w:space="0" w:color="auto"/>
      </w:divBdr>
      <w:divsChild>
        <w:div w:id="1187669757">
          <w:marLeft w:val="0"/>
          <w:marRight w:val="0"/>
          <w:marTop w:val="0"/>
          <w:marBottom w:val="0"/>
          <w:divBdr>
            <w:top w:val="none" w:sz="0" w:space="0" w:color="auto"/>
            <w:left w:val="none" w:sz="0" w:space="0" w:color="auto"/>
            <w:bottom w:val="none" w:sz="0" w:space="0" w:color="auto"/>
            <w:right w:val="none" w:sz="0" w:space="0" w:color="auto"/>
          </w:divBdr>
          <w:divsChild>
            <w:div w:id="543635735">
              <w:marLeft w:val="0"/>
              <w:marRight w:val="0"/>
              <w:marTop w:val="0"/>
              <w:marBottom w:val="0"/>
              <w:divBdr>
                <w:top w:val="none" w:sz="0" w:space="0" w:color="auto"/>
                <w:left w:val="none" w:sz="0" w:space="0" w:color="auto"/>
                <w:bottom w:val="none" w:sz="0" w:space="0" w:color="auto"/>
                <w:right w:val="none" w:sz="0" w:space="0" w:color="auto"/>
              </w:divBdr>
              <w:divsChild>
                <w:div w:id="1642149576">
                  <w:marLeft w:val="0"/>
                  <w:marRight w:val="0"/>
                  <w:marTop w:val="0"/>
                  <w:marBottom w:val="0"/>
                  <w:divBdr>
                    <w:top w:val="none" w:sz="0" w:space="0" w:color="auto"/>
                    <w:left w:val="none" w:sz="0" w:space="0" w:color="auto"/>
                    <w:bottom w:val="none" w:sz="0" w:space="0" w:color="auto"/>
                    <w:right w:val="none" w:sz="0" w:space="0" w:color="auto"/>
                  </w:divBdr>
                  <w:divsChild>
                    <w:div w:id="1943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837998">
      <w:bodyDiv w:val="1"/>
      <w:marLeft w:val="0"/>
      <w:marRight w:val="0"/>
      <w:marTop w:val="0"/>
      <w:marBottom w:val="0"/>
      <w:divBdr>
        <w:top w:val="none" w:sz="0" w:space="0" w:color="auto"/>
        <w:left w:val="none" w:sz="0" w:space="0" w:color="auto"/>
        <w:bottom w:val="none" w:sz="0" w:space="0" w:color="auto"/>
        <w:right w:val="none" w:sz="0" w:space="0" w:color="auto"/>
      </w:divBdr>
      <w:divsChild>
        <w:div w:id="1374618225">
          <w:marLeft w:val="0"/>
          <w:marRight w:val="0"/>
          <w:marTop w:val="0"/>
          <w:marBottom w:val="0"/>
          <w:divBdr>
            <w:top w:val="none" w:sz="0" w:space="0" w:color="auto"/>
            <w:left w:val="none" w:sz="0" w:space="0" w:color="auto"/>
            <w:bottom w:val="none" w:sz="0" w:space="0" w:color="auto"/>
            <w:right w:val="none" w:sz="0" w:space="0" w:color="auto"/>
          </w:divBdr>
          <w:divsChild>
            <w:div w:id="26234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5615">
      <w:bodyDiv w:val="1"/>
      <w:marLeft w:val="0"/>
      <w:marRight w:val="0"/>
      <w:marTop w:val="0"/>
      <w:marBottom w:val="0"/>
      <w:divBdr>
        <w:top w:val="none" w:sz="0" w:space="0" w:color="auto"/>
        <w:left w:val="none" w:sz="0" w:space="0" w:color="auto"/>
        <w:bottom w:val="none" w:sz="0" w:space="0" w:color="auto"/>
        <w:right w:val="none" w:sz="0" w:space="0" w:color="auto"/>
      </w:divBdr>
      <w:divsChild>
        <w:div w:id="20715269">
          <w:marLeft w:val="0"/>
          <w:marRight w:val="0"/>
          <w:marTop w:val="0"/>
          <w:marBottom w:val="0"/>
          <w:divBdr>
            <w:top w:val="none" w:sz="0" w:space="0" w:color="auto"/>
            <w:left w:val="none" w:sz="0" w:space="0" w:color="auto"/>
            <w:bottom w:val="none" w:sz="0" w:space="0" w:color="auto"/>
            <w:right w:val="none" w:sz="0" w:space="0" w:color="auto"/>
          </w:divBdr>
          <w:divsChild>
            <w:div w:id="219559069">
              <w:marLeft w:val="0"/>
              <w:marRight w:val="0"/>
              <w:marTop w:val="0"/>
              <w:marBottom w:val="0"/>
              <w:divBdr>
                <w:top w:val="none" w:sz="0" w:space="0" w:color="auto"/>
                <w:left w:val="none" w:sz="0" w:space="0" w:color="auto"/>
                <w:bottom w:val="none" w:sz="0" w:space="0" w:color="auto"/>
                <w:right w:val="none" w:sz="0" w:space="0" w:color="auto"/>
              </w:divBdr>
              <w:divsChild>
                <w:div w:id="1841039000">
                  <w:marLeft w:val="0"/>
                  <w:marRight w:val="0"/>
                  <w:marTop w:val="0"/>
                  <w:marBottom w:val="0"/>
                  <w:divBdr>
                    <w:top w:val="none" w:sz="0" w:space="0" w:color="auto"/>
                    <w:left w:val="none" w:sz="0" w:space="0" w:color="auto"/>
                    <w:bottom w:val="none" w:sz="0" w:space="0" w:color="auto"/>
                    <w:right w:val="none" w:sz="0" w:space="0" w:color="auto"/>
                  </w:divBdr>
                  <w:divsChild>
                    <w:div w:id="289672686">
                      <w:marLeft w:val="0"/>
                      <w:marRight w:val="0"/>
                      <w:marTop w:val="0"/>
                      <w:marBottom w:val="0"/>
                      <w:divBdr>
                        <w:top w:val="none" w:sz="0" w:space="0" w:color="auto"/>
                        <w:left w:val="none" w:sz="0" w:space="0" w:color="auto"/>
                        <w:bottom w:val="none" w:sz="0" w:space="0" w:color="auto"/>
                        <w:right w:val="none" w:sz="0" w:space="0" w:color="auto"/>
                      </w:divBdr>
                      <w:divsChild>
                        <w:div w:id="81483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1169511">
      <w:bodyDiv w:val="1"/>
      <w:marLeft w:val="0"/>
      <w:marRight w:val="0"/>
      <w:marTop w:val="0"/>
      <w:marBottom w:val="0"/>
      <w:divBdr>
        <w:top w:val="none" w:sz="0" w:space="0" w:color="auto"/>
        <w:left w:val="none" w:sz="0" w:space="0" w:color="auto"/>
        <w:bottom w:val="none" w:sz="0" w:space="0" w:color="auto"/>
        <w:right w:val="none" w:sz="0" w:space="0" w:color="auto"/>
      </w:divBdr>
      <w:divsChild>
        <w:div w:id="2144106383">
          <w:marLeft w:val="0"/>
          <w:marRight w:val="0"/>
          <w:marTop w:val="0"/>
          <w:marBottom w:val="0"/>
          <w:divBdr>
            <w:top w:val="none" w:sz="0" w:space="0" w:color="auto"/>
            <w:left w:val="none" w:sz="0" w:space="0" w:color="auto"/>
            <w:bottom w:val="none" w:sz="0" w:space="0" w:color="auto"/>
            <w:right w:val="none" w:sz="0" w:space="0" w:color="auto"/>
          </w:divBdr>
          <w:divsChild>
            <w:div w:id="1240797078">
              <w:marLeft w:val="0"/>
              <w:marRight w:val="0"/>
              <w:marTop w:val="0"/>
              <w:marBottom w:val="0"/>
              <w:divBdr>
                <w:top w:val="none" w:sz="0" w:space="0" w:color="auto"/>
                <w:left w:val="none" w:sz="0" w:space="0" w:color="auto"/>
                <w:bottom w:val="none" w:sz="0" w:space="0" w:color="auto"/>
                <w:right w:val="none" w:sz="0" w:space="0" w:color="auto"/>
              </w:divBdr>
              <w:divsChild>
                <w:div w:id="1949703572">
                  <w:marLeft w:val="0"/>
                  <w:marRight w:val="0"/>
                  <w:marTop w:val="0"/>
                  <w:marBottom w:val="0"/>
                  <w:divBdr>
                    <w:top w:val="none" w:sz="0" w:space="0" w:color="auto"/>
                    <w:left w:val="none" w:sz="0" w:space="0" w:color="auto"/>
                    <w:bottom w:val="none" w:sz="0" w:space="0" w:color="auto"/>
                    <w:right w:val="none" w:sz="0" w:space="0" w:color="auto"/>
                  </w:divBdr>
                  <w:divsChild>
                    <w:div w:id="134809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54413">
      <w:bodyDiv w:val="1"/>
      <w:marLeft w:val="0"/>
      <w:marRight w:val="0"/>
      <w:marTop w:val="0"/>
      <w:marBottom w:val="0"/>
      <w:divBdr>
        <w:top w:val="none" w:sz="0" w:space="0" w:color="auto"/>
        <w:left w:val="none" w:sz="0" w:space="0" w:color="auto"/>
        <w:bottom w:val="none" w:sz="0" w:space="0" w:color="auto"/>
        <w:right w:val="none" w:sz="0" w:space="0" w:color="auto"/>
      </w:divBdr>
      <w:divsChild>
        <w:div w:id="1875921270">
          <w:marLeft w:val="0"/>
          <w:marRight w:val="0"/>
          <w:marTop w:val="0"/>
          <w:marBottom w:val="0"/>
          <w:divBdr>
            <w:top w:val="none" w:sz="0" w:space="0" w:color="auto"/>
            <w:left w:val="none" w:sz="0" w:space="0" w:color="auto"/>
            <w:bottom w:val="none" w:sz="0" w:space="0" w:color="auto"/>
            <w:right w:val="none" w:sz="0" w:space="0" w:color="auto"/>
          </w:divBdr>
        </w:div>
      </w:divsChild>
    </w:div>
    <w:div w:id="1691880114">
      <w:bodyDiv w:val="1"/>
      <w:marLeft w:val="0"/>
      <w:marRight w:val="0"/>
      <w:marTop w:val="0"/>
      <w:marBottom w:val="0"/>
      <w:divBdr>
        <w:top w:val="none" w:sz="0" w:space="0" w:color="auto"/>
        <w:left w:val="none" w:sz="0" w:space="0" w:color="auto"/>
        <w:bottom w:val="none" w:sz="0" w:space="0" w:color="auto"/>
        <w:right w:val="none" w:sz="0" w:space="0" w:color="auto"/>
      </w:divBdr>
      <w:divsChild>
        <w:div w:id="96994457">
          <w:marLeft w:val="0"/>
          <w:marRight w:val="0"/>
          <w:marTop w:val="0"/>
          <w:marBottom w:val="0"/>
          <w:divBdr>
            <w:top w:val="none" w:sz="0" w:space="0" w:color="auto"/>
            <w:left w:val="none" w:sz="0" w:space="0" w:color="auto"/>
            <w:bottom w:val="none" w:sz="0" w:space="0" w:color="auto"/>
            <w:right w:val="none" w:sz="0" w:space="0" w:color="auto"/>
          </w:divBdr>
        </w:div>
      </w:divsChild>
    </w:div>
    <w:div w:id="1879273127">
      <w:bodyDiv w:val="1"/>
      <w:marLeft w:val="0"/>
      <w:marRight w:val="0"/>
      <w:marTop w:val="0"/>
      <w:marBottom w:val="0"/>
      <w:divBdr>
        <w:top w:val="none" w:sz="0" w:space="0" w:color="auto"/>
        <w:left w:val="none" w:sz="0" w:space="0" w:color="auto"/>
        <w:bottom w:val="none" w:sz="0" w:space="0" w:color="auto"/>
        <w:right w:val="none" w:sz="0" w:space="0" w:color="auto"/>
      </w:divBdr>
      <w:divsChild>
        <w:div w:id="1109393654">
          <w:marLeft w:val="0"/>
          <w:marRight w:val="0"/>
          <w:marTop w:val="0"/>
          <w:marBottom w:val="0"/>
          <w:divBdr>
            <w:top w:val="none" w:sz="0" w:space="0" w:color="auto"/>
            <w:left w:val="none" w:sz="0" w:space="0" w:color="auto"/>
            <w:bottom w:val="none" w:sz="0" w:space="0" w:color="auto"/>
            <w:right w:val="none" w:sz="0" w:space="0" w:color="auto"/>
          </w:divBdr>
          <w:divsChild>
            <w:div w:id="1635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1666">
      <w:bodyDiv w:val="1"/>
      <w:marLeft w:val="0"/>
      <w:marRight w:val="0"/>
      <w:marTop w:val="0"/>
      <w:marBottom w:val="0"/>
      <w:divBdr>
        <w:top w:val="none" w:sz="0" w:space="0" w:color="auto"/>
        <w:left w:val="none" w:sz="0" w:space="0" w:color="auto"/>
        <w:bottom w:val="none" w:sz="0" w:space="0" w:color="auto"/>
        <w:right w:val="none" w:sz="0" w:space="0" w:color="auto"/>
      </w:divBdr>
      <w:divsChild>
        <w:div w:id="1657611563">
          <w:marLeft w:val="0"/>
          <w:marRight w:val="0"/>
          <w:marTop w:val="0"/>
          <w:marBottom w:val="0"/>
          <w:divBdr>
            <w:top w:val="none" w:sz="0" w:space="0" w:color="auto"/>
            <w:left w:val="none" w:sz="0" w:space="0" w:color="auto"/>
            <w:bottom w:val="none" w:sz="0" w:space="0" w:color="auto"/>
            <w:right w:val="none" w:sz="0" w:space="0" w:color="auto"/>
          </w:divBdr>
          <w:divsChild>
            <w:div w:id="241986890">
              <w:marLeft w:val="0"/>
              <w:marRight w:val="0"/>
              <w:marTop w:val="0"/>
              <w:marBottom w:val="0"/>
              <w:divBdr>
                <w:top w:val="none" w:sz="0" w:space="0" w:color="auto"/>
                <w:left w:val="none" w:sz="0" w:space="0" w:color="auto"/>
                <w:bottom w:val="none" w:sz="0" w:space="0" w:color="auto"/>
                <w:right w:val="none" w:sz="0" w:space="0" w:color="auto"/>
              </w:divBdr>
              <w:divsChild>
                <w:div w:id="16258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300806">
      <w:bodyDiv w:val="1"/>
      <w:marLeft w:val="0"/>
      <w:marRight w:val="0"/>
      <w:marTop w:val="0"/>
      <w:marBottom w:val="0"/>
      <w:divBdr>
        <w:top w:val="none" w:sz="0" w:space="0" w:color="auto"/>
        <w:left w:val="none" w:sz="0" w:space="0" w:color="auto"/>
        <w:bottom w:val="none" w:sz="0" w:space="0" w:color="auto"/>
        <w:right w:val="none" w:sz="0" w:space="0" w:color="auto"/>
      </w:divBdr>
      <w:divsChild>
        <w:div w:id="1239442298">
          <w:marLeft w:val="0"/>
          <w:marRight w:val="0"/>
          <w:marTop w:val="0"/>
          <w:marBottom w:val="0"/>
          <w:divBdr>
            <w:top w:val="none" w:sz="0" w:space="0" w:color="auto"/>
            <w:left w:val="none" w:sz="0" w:space="0" w:color="auto"/>
            <w:bottom w:val="none" w:sz="0" w:space="0" w:color="auto"/>
            <w:right w:val="none" w:sz="0" w:space="0" w:color="auto"/>
          </w:divBdr>
        </w:div>
      </w:divsChild>
    </w:div>
    <w:div w:id="2049648318">
      <w:bodyDiv w:val="1"/>
      <w:marLeft w:val="0"/>
      <w:marRight w:val="0"/>
      <w:marTop w:val="0"/>
      <w:marBottom w:val="0"/>
      <w:divBdr>
        <w:top w:val="none" w:sz="0" w:space="0" w:color="auto"/>
        <w:left w:val="none" w:sz="0" w:space="0" w:color="auto"/>
        <w:bottom w:val="none" w:sz="0" w:space="0" w:color="auto"/>
        <w:right w:val="none" w:sz="0" w:space="0" w:color="auto"/>
      </w:divBdr>
      <w:divsChild>
        <w:div w:id="129899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557</Words>
  <Characters>3180</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2016-08-18T05:55:00Z</dcterms:created>
  <dcterms:modified xsi:type="dcterms:W3CDTF">2016-08-18T05:55:00Z</dcterms:modified>
</cp:coreProperties>
</file>