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91B" w:rsidRDefault="00A1391B" w:rsidP="00A1391B">
      <w:pPr>
        <w:jc w:val="center"/>
        <w:rPr>
          <w:rFonts w:ascii="ˎ̥" w:hAnsi="ˎ̥" w:hint="eastAsia"/>
          <w:b/>
          <w:bCs/>
          <w:color w:val="185895"/>
        </w:rPr>
      </w:pPr>
      <w:r>
        <w:rPr>
          <w:rFonts w:ascii="ˎ̥" w:hAnsi="ˎ̥" w:hint="eastAsia"/>
          <w:b/>
          <w:bCs/>
          <w:color w:val="185895"/>
        </w:rPr>
        <w:t>财政部</w:t>
      </w:r>
      <w:r>
        <w:rPr>
          <w:rFonts w:ascii="ˎ̥" w:hAnsi="ˎ̥"/>
          <w:b/>
          <w:bCs/>
          <w:color w:val="185895"/>
        </w:rPr>
        <w:t>关于印发《基本建设项目建设成本管理规定》的通知</w:t>
      </w:r>
    </w:p>
    <w:p w:rsidR="00A1391B" w:rsidRDefault="00A1391B" w:rsidP="00A1391B">
      <w:pPr>
        <w:jc w:val="center"/>
        <w:rPr>
          <w:rFonts w:ascii="ˎ̥" w:hAnsi="ˎ̥" w:hint="eastAsia"/>
          <w:b/>
          <w:bCs/>
          <w:color w:val="185895"/>
        </w:rPr>
      </w:pPr>
    </w:p>
    <w:p w:rsidR="00A1391B" w:rsidRPr="00A1391B" w:rsidRDefault="00A1391B" w:rsidP="00A1391B">
      <w:pPr>
        <w:jc w:val="center"/>
        <w:rPr>
          <w:rFonts w:ascii="ˎ̥" w:eastAsia="宋体" w:hAnsi="ˎ̥" w:cs="宋体" w:hint="eastAsia"/>
          <w:kern w:val="0"/>
          <w:sz w:val="16"/>
          <w:szCs w:val="16"/>
        </w:rPr>
      </w:pPr>
      <w:r>
        <w:rPr>
          <w:rFonts w:ascii="ˎ̥" w:hAnsi="ˎ̥" w:hint="eastAsia"/>
          <w:b/>
          <w:bCs/>
          <w:color w:val="185895"/>
        </w:rPr>
        <w:t xml:space="preserve"> </w:t>
      </w:r>
      <w:proofErr w:type="gramStart"/>
      <w:r w:rsidRPr="00A1391B">
        <w:rPr>
          <w:rFonts w:ascii="ˎ̥" w:eastAsia="宋体" w:hAnsi="ˎ̥" w:cs="宋体"/>
          <w:kern w:val="0"/>
          <w:sz w:val="16"/>
          <w:szCs w:val="16"/>
        </w:rPr>
        <w:t>财建</w:t>
      </w:r>
      <w:r w:rsidR="00AD3287">
        <w:rPr>
          <w:rFonts w:ascii="ˎ̥" w:eastAsia="宋体" w:hAnsi="ˎ̥" w:cs="宋体" w:hint="eastAsia"/>
          <w:kern w:val="0"/>
          <w:sz w:val="16"/>
          <w:szCs w:val="16"/>
        </w:rPr>
        <w:t>〔</w:t>
      </w:r>
      <w:r w:rsidRPr="00A1391B">
        <w:rPr>
          <w:rFonts w:ascii="ˎ̥" w:eastAsia="宋体" w:hAnsi="ˎ̥" w:cs="宋体"/>
          <w:kern w:val="0"/>
          <w:sz w:val="16"/>
          <w:szCs w:val="16"/>
        </w:rPr>
        <w:t>2016</w:t>
      </w:r>
      <w:r w:rsidR="00AD3287">
        <w:rPr>
          <w:rFonts w:ascii="ˎ̥" w:eastAsia="宋体" w:hAnsi="ˎ̥" w:cs="宋体" w:hint="eastAsia"/>
          <w:kern w:val="0"/>
          <w:sz w:val="16"/>
          <w:szCs w:val="16"/>
        </w:rPr>
        <w:t>〕</w:t>
      </w:r>
      <w:proofErr w:type="gramEnd"/>
      <w:r w:rsidRPr="00A1391B">
        <w:rPr>
          <w:rFonts w:ascii="ˎ̥" w:eastAsia="宋体" w:hAnsi="ˎ̥" w:cs="宋体"/>
          <w:kern w:val="0"/>
          <w:sz w:val="16"/>
          <w:szCs w:val="16"/>
        </w:rPr>
        <w:t>504</w:t>
      </w:r>
      <w:r w:rsidRPr="00A1391B">
        <w:rPr>
          <w:rFonts w:ascii="ˎ̥" w:eastAsia="宋体" w:hAnsi="ˎ̥" w:cs="宋体"/>
          <w:kern w:val="0"/>
          <w:sz w:val="16"/>
          <w:szCs w:val="16"/>
        </w:rPr>
        <w:t>号</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党中央有关部门，国务院各部委、各直属机构，军委后勤保障部，武警总部，全国人大常委会办公厅，全国政协办公厅，高法院，高检院，各民主党派中央，有关人民团体，各中央管理企业，各省、自治区、计划单列市财政厅（局），新疆生产建设兵团财务局：</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为推动各部门、各地区进一步加强基本建设成本核算管理，提高资金使用效益，针对基本建设成本管理中反映出的主要问题，依据《基本建设财务规则》，现印发《基本建设项目建设成本管理规定》，请认真贯彻执行。</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附件：1.基本建设项目建设成本管理规定</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2.项目建设管理费总额控制数费率表</w:t>
      </w:r>
    </w:p>
    <w:p w:rsidR="00A1391B" w:rsidRPr="00A1391B" w:rsidRDefault="00A1391B" w:rsidP="009C78E1">
      <w:pPr>
        <w:widowControl/>
        <w:spacing w:line="300" w:lineRule="auto"/>
        <w:jc w:val="right"/>
        <w:rPr>
          <w:rFonts w:asciiTheme="minorEastAsia" w:hAnsiTheme="minorEastAsia" w:cs="宋体"/>
          <w:kern w:val="0"/>
          <w:sz w:val="24"/>
          <w:szCs w:val="24"/>
        </w:rPr>
      </w:pPr>
      <w:r w:rsidRPr="00A1391B">
        <w:rPr>
          <w:rFonts w:asciiTheme="minorEastAsia" w:hAnsiTheme="minorEastAsia" w:cs="宋体"/>
          <w:kern w:val="0"/>
          <w:sz w:val="24"/>
          <w:szCs w:val="24"/>
        </w:rPr>
        <w:t xml:space="preserve">　　                                   财 政 部</w:t>
      </w:r>
    </w:p>
    <w:p w:rsidR="00A1391B" w:rsidRPr="00A1391B" w:rsidRDefault="00A1391B" w:rsidP="009C78E1">
      <w:pPr>
        <w:widowControl/>
        <w:spacing w:line="300" w:lineRule="auto"/>
        <w:jc w:val="right"/>
        <w:rPr>
          <w:rFonts w:asciiTheme="minorEastAsia" w:hAnsiTheme="minorEastAsia" w:cs="宋体"/>
          <w:kern w:val="0"/>
          <w:sz w:val="24"/>
          <w:szCs w:val="24"/>
        </w:rPr>
      </w:pPr>
      <w:r w:rsidRPr="00A1391B">
        <w:rPr>
          <w:rFonts w:asciiTheme="minorEastAsia" w:hAnsiTheme="minorEastAsia" w:cs="宋体"/>
          <w:kern w:val="0"/>
          <w:sz w:val="24"/>
          <w:szCs w:val="24"/>
        </w:rPr>
        <w:t xml:space="preserve">　　                        </w:t>
      </w:r>
      <w:bookmarkStart w:id="0" w:name="_GoBack"/>
      <w:bookmarkEnd w:id="0"/>
      <w:r w:rsidRPr="00A1391B">
        <w:rPr>
          <w:rFonts w:asciiTheme="minorEastAsia" w:hAnsiTheme="minorEastAsia" w:cs="宋体"/>
          <w:kern w:val="0"/>
          <w:sz w:val="24"/>
          <w:szCs w:val="24"/>
        </w:rPr>
        <w:t>2016年7月6日</w:t>
      </w:r>
    </w:p>
    <w:p w:rsidR="00A1391B" w:rsidRPr="00A1391B" w:rsidRDefault="00A1391B" w:rsidP="009C78E1">
      <w:pPr>
        <w:widowControl/>
        <w:spacing w:line="300" w:lineRule="auto"/>
        <w:jc w:val="right"/>
        <w:rPr>
          <w:rFonts w:asciiTheme="minorEastAsia" w:hAnsiTheme="minorEastAsia" w:cs="宋体"/>
          <w:kern w:val="0"/>
          <w:sz w:val="24"/>
          <w:szCs w:val="24"/>
        </w:rPr>
      </w:pPr>
      <w:r w:rsidRPr="00A1391B">
        <w:rPr>
          <w:rFonts w:asciiTheme="minorEastAsia" w:hAnsiTheme="minorEastAsia" w:cs="宋体"/>
          <w:kern w:val="0"/>
          <w:sz w:val="24"/>
          <w:szCs w:val="24"/>
        </w:rPr>
        <w:t> </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附件1：</w:t>
      </w:r>
    </w:p>
    <w:p w:rsidR="00A1391B" w:rsidRPr="00A1391B" w:rsidRDefault="00A1391B" w:rsidP="009C78E1">
      <w:pPr>
        <w:widowControl/>
        <w:spacing w:line="300" w:lineRule="auto"/>
        <w:jc w:val="center"/>
        <w:rPr>
          <w:rFonts w:asciiTheme="minorEastAsia" w:hAnsiTheme="minorEastAsia" w:cs="宋体"/>
          <w:kern w:val="0"/>
          <w:sz w:val="24"/>
          <w:szCs w:val="24"/>
        </w:rPr>
      </w:pPr>
      <w:r w:rsidRPr="009C78E1">
        <w:rPr>
          <w:rFonts w:asciiTheme="minorEastAsia" w:hAnsiTheme="minorEastAsia" w:cs="宋体"/>
          <w:b/>
          <w:bCs/>
          <w:kern w:val="0"/>
          <w:sz w:val="24"/>
          <w:szCs w:val="24"/>
        </w:rPr>
        <w:t>基本建设项目建设成本管理规定</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第一条  为了规范基本建设项目建设成本管理，提高建设资金使用效益，依据《基本建设财务规则》（财政部令第81号），制定本规定。</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第二条　建筑安装工程投资支出是指基本建设项目（以下简称项目）建设单位按照批准的建设内容发生的建筑工程和安装工程的实际成本，其中不包括被安装设备本身的价值，以及按照合同规定支付给施工单位的预付备料款和预付工程款。</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第三条　设备投资支出是指项目建设单位按照批准的建设内容发生的各种设备的实际成本（不包括工程抵扣的增值税进项税额），包括需要安装设备、不需要安装设备和为生产准备的不够固定资产标准的工具、器具的实际成本。</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需要安装设备是指必须将其整体或几个部位装配起来，安装在基础上或建筑物支架上才能使用的设备。不需要安装设备是指不必固定在一定位置或支架上就可以使用的设备。</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第四条　待摊投资支出是指项目建设单位按照批准的建设内容发生的，应当分摊计入相关资产价值的各项费用和税金支出。主要包括：</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（一）勘察费、设计费、研究试验费、可行性研究费及项目其他前期费用；</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（二）土地征用及迁移补偿费、土地复垦及补偿费、森林植被恢复费及其他为取得或租用土地使用权而发生的费用；</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lastRenderedPageBreak/>
        <w:t xml:space="preserve">　　（三）土地使用税、耕地占用税、契税、车船税、印花税及按规定缴纳的其他税费；</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（四）项目建设管理费、代建管理费、临时设施费、监理费、招标投标费、社会中介机构审查费及其他管理性质的费用；</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（五）项目建设期间发生的各类借款利息、债券利息、贷款评估费、国外借款手续费及承诺费、汇兑损益、债券发行费用及其他债务利息支出或融资费用；</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（六）工程检测费、设备检验费、负荷联合试车费及其他检验检测类费用；</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（七）固定资产损失、器材处理亏损、设备盘亏及毁损、报废工程净损失及其他损失；</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（八）系统集成等信息工程的费用支出；</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（九）其他待摊投资性质支出。</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项目在建设期间的建设资金存款利息收入冲减债务利息支出，利息收入超过利息支出的部分，冲减待摊投资总支出。</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第五条  项目建设管理费是指项目建设单位从项目筹建之日起</w:t>
      </w:r>
      <w:proofErr w:type="gramStart"/>
      <w:r w:rsidRPr="00A1391B">
        <w:rPr>
          <w:rFonts w:asciiTheme="minorEastAsia" w:hAnsiTheme="minorEastAsia" w:cs="宋体"/>
          <w:kern w:val="0"/>
          <w:sz w:val="24"/>
          <w:szCs w:val="24"/>
        </w:rPr>
        <w:t>至办理</w:t>
      </w:r>
      <w:proofErr w:type="gramEnd"/>
      <w:r w:rsidRPr="00A1391B">
        <w:rPr>
          <w:rFonts w:asciiTheme="minorEastAsia" w:hAnsiTheme="minorEastAsia" w:cs="宋体"/>
          <w:kern w:val="0"/>
          <w:sz w:val="24"/>
          <w:szCs w:val="24"/>
        </w:rPr>
        <w:t>竣工财务决算之日止发生的管理性质的支出。包括：不在原单位发工资的工作人员工资及相关费用、办公费、</w:t>
      </w:r>
      <w:proofErr w:type="gramStart"/>
      <w:r w:rsidRPr="00A1391B">
        <w:rPr>
          <w:rFonts w:asciiTheme="minorEastAsia" w:hAnsiTheme="minorEastAsia" w:cs="宋体"/>
          <w:kern w:val="0"/>
          <w:sz w:val="24"/>
          <w:szCs w:val="24"/>
        </w:rPr>
        <w:t>办公场</w:t>
      </w:r>
      <w:proofErr w:type="gramEnd"/>
      <w:r w:rsidRPr="00A1391B">
        <w:rPr>
          <w:rFonts w:asciiTheme="minorEastAsia" w:hAnsiTheme="minorEastAsia" w:cs="宋体"/>
          <w:kern w:val="0"/>
          <w:sz w:val="24"/>
          <w:szCs w:val="24"/>
        </w:rPr>
        <w:t>地租用费、差旅交通费、劳动保护费、工具用具使用费、固定资产使用费、招募生产工人费、技术图书资料费（含软件）、业务招待费、施工现场津贴、竣工验收费和其他管理性质开支。</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项目建设单位应当严格执行《党政机关厉行节约反对浪费条例》，严格控制项目建设管理费。</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第六条 行政事业单位项目建设管理费实行总额控制，分年度据实列支。总额控制数以项目审批部门批准的项目总投资（经批准的动态投资，不含项目建设管理费）扣除土地征用、迁移补偿等为取得或租用土地使用权而发生的费用为基数分档计算。具体计算方法见附件。</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建设地点分散、点多面广、建设工期长以及使用新技术、新工艺等的项目，项目建设管理费确需超过上述开支标准的，中央级项目,应当事前</w:t>
      </w:r>
      <w:proofErr w:type="gramStart"/>
      <w:r w:rsidRPr="00A1391B">
        <w:rPr>
          <w:rFonts w:asciiTheme="minorEastAsia" w:hAnsiTheme="minorEastAsia" w:cs="宋体"/>
          <w:kern w:val="0"/>
          <w:sz w:val="24"/>
          <w:szCs w:val="24"/>
        </w:rPr>
        <w:t>报项目</w:t>
      </w:r>
      <w:proofErr w:type="gramEnd"/>
      <w:r w:rsidRPr="00A1391B">
        <w:rPr>
          <w:rFonts w:asciiTheme="minorEastAsia" w:hAnsiTheme="minorEastAsia" w:cs="宋体"/>
          <w:kern w:val="0"/>
          <w:sz w:val="24"/>
          <w:szCs w:val="24"/>
        </w:rPr>
        <w:t>主管部门审核批准，并报财政部备案，未经批准的，超标</w:t>
      </w:r>
      <w:proofErr w:type="gramStart"/>
      <w:r w:rsidRPr="00A1391B">
        <w:rPr>
          <w:rFonts w:asciiTheme="minorEastAsia" w:hAnsiTheme="minorEastAsia" w:cs="宋体"/>
          <w:kern w:val="0"/>
          <w:sz w:val="24"/>
          <w:szCs w:val="24"/>
        </w:rPr>
        <w:t>准发生</w:t>
      </w:r>
      <w:proofErr w:type="gramEnd"/>
      <w:r w:rsidRPr="00A1391B">
        <w:rPr>
          <w:rFonts w:asciiTheme="minorEastAsia" w:hAnsiTheme="minorEastAsia" w:cs="宋体"/>
          <w:kern w:val="0"/>
          <w:sz w:val="24"/>
          <w:szCs w:val="24"/>
        </w:rPr>
        <w:t>的项目建设管理费由项目建设单位用自有资金弥补；地方级项目，由同级财政部门确定审核批准的要求和程序。</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施工现场管理人员津贴标准比照当地财政部门制定的差旅费标准执行；一般不得发生业务招待费，确需列支的，项目业务招待费支出应当严格按照国家有关规定执行，并不得超过项目建设管理费的5%。</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第七条 使用财政资金的国有和国有控股企业的项目建设管理费，比照第六条规定执行。国有和国有控股企业经营性项目的项目资本中，财政资金所占比例未超过50%的项目建设管理费可不执行第六条规定。</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lastRenderedPageBreak/>
        <w:t xml:space="preserve">　　第八条  政府设立（或授权）、政府招标产生的代建制项目，代建管理费由同级财政部门根据代建内容和要求，按照不高于本规定项目建设管理费标准核定，计入项目建设成本。</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实行代建制管理的项目，一般不得同时列支代建管理费和项目建设管理费，确需同时发生的，两项费用之和不得高于本规定的项目建设管理费限额。</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建设地点分散、点多面广以及使用新技术、新工艺等的项目，代建管理费确需超过本规定确定的开支标准的，行政单位和使用财政资金建设的事业单位中央项目,应当事前</w:t>
      </w:r>
      <w:proofErr w:type="gramStart"/>
      <w:r w:rsidRPr="00A1391B">
        <w:rPr>
          <w:rFonts w:asciiTheme="minorEastAsia" w:hAnsiTheme="minorEastAsia" w:cs="宋体"/>
          <w:kern w:val="0"/>
          <w:sz w:val="24"/>
          <w:szCs w:val="24"/>
        </w:rPr>
        <w:t>报项目</w:t>
      </w:r>
      <w:proofErr w:type="gramEnd"/>
      <w:r w:rsidRPr="00A1391B">
        <w:rPr>
          <w:rFonts w:asciiTheme="minorEastAsia" w:hAnsiTheme="minorEastAsia" w:cs="宋体"/>
          <w:kern w:val="0"/>
          <w:sz w:val="24"/>
          <w:szCs w:val="24"/>
        </w:rPr>
        <w:t>主管部门审核批准，并报财政部备案；地方项目，由同级财政部门确定审核批准的要求和程序。</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代建管理费核定和支付应当与工程进度、建设质量结合，与代建内容、代建绩效挂钩，实行奖优罚劣。同时满足按时完成项目代建任务、工程质量优良、项目投资控制在批准概算总投资范围3个条件的，可以支付代建单位利润或奖励资金，代建单位利润或奖励资金一般不得超过代建管理费的10%，需使用财政资金支付的，应当事前报同级财政部门审核批准；未完成代建任务的，应当扣减代建管理费。</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第九条　项目单项工程报废净损失计入待摊投资支出。</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单项工程报废应当经有关部门或专业机构鉴定。非经营性项目以及使用财政资金所占比例超过项目资本50%的经营性项目，发生的单项工程报废经鉴定后，</w:t>
      </w:r>
      <w:proofErr w:type="gramStart"/>
      <w:r w:rsidRPr="00A1391B">
        <w:rPr>
          <w:rFonts w:asciiTheme="minorEastAsia" w:hAnsiTheme="minorEastAsia" w:cs="宋体"/>
          <w:kern w:val="0"/>
          <w:sz w:val="24"/>
          <w:szCs w:val="24"/>
        </w:rPr>
        <w:t>报项目</w:t>
      </w:r>
      <w:proofErr w:type="gramEnd"/>
      <w:r w:rsidRPr="00A1391B">
        <w:rPr>
          <w:rFonts w:asciiTheme="minorEastAsia" w:hAnsiTheme="minorEastAsia" w:cs="宋体"/>
          <w:kern w:val="0"/>
          <w:sz w:val="24"/>
          <w:szCs w:val="24"/>
        </w:rPr>
        <w:t>竣工财务决算批复部门审核批准。</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因设计单位、施工单位、供货单位等原因造成的单项工程报废损失，由责任单位承担。</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第十条　其他投资支出是指项目建设单位按照批准的项目建设内容发生的房屋购置支出，基本畜禽、林木等的购置、饲养、培育支出，办公生活用家具、器具购置支出，软件研发及不能计入设备投资的软件购置等支出。</w:t>
      </w:r>
    </w:p>
    <w:p w:rsidR="00A1391B" w:rsidRPr="00A1391B" w:rsidRDefault="00A1391B" w:rsidP="009C78E1">
      <w:pPr>
        <w:widowControl/>
        <w:spacing w:line="300" w:lineRule="auto"/>
        <w:jc w:val="left"/>
        <w:rPr>
          <w:rFonts w:asciiTheme="minorEastAsia" w:hAnsiTheme="minorEastAsia" w:cs="宋体"/>
          <w:kern w:val="0"/>
          <w:sz w:val="24"/>
          <w:szCs w:val="24"/>
        </w:rPr>
      </w:pPr>
      <w:r w:rsidRPr="00A1391B">
        <w:rPr>
          <w:rFonts w:asciiTheme="minorEastAsia" w:hAnsiTheme="minorEastAsia" w:cs="宋体"/>
          <w:kern w:val="0"/>
          <w:sz w:val="24"/>
          <w:szCs w:val="24"/>
        </w:rPr>
        <w:t xml:space="preserve">　　第十一条  本规定自2016年9月1日起施行。《财政部关于切实加强政府投资项目代建制财政财务管理有关问题的指导意见》(</w:t>
      </w:r>
      <w:proofErr w:type="gramStart"/>
      <w:r w:rsidRPr="00A1391B">
        <w:rPr>
          <w:rFonts w:asciiTheme="minorEastAsia" w:hAnsiTheme="minorEastAsia" w:cs="宋体"/>
          <w:kern w:val="0"/>
          <w:sz w:val="24"/>
          <w:szCs w:val="24"/>
        </w:rPr>
        <w:t>财建〔2004〕</w:t>
      </w:r>
      <w:proofErr w:type="gramEnd"/>
      <w:r w:rsidRPr="00A1391B">
        <w:rPr>
          <w:rFonts w:asciiTheme="minorEastAsia" w:hAnsiTheme="minorEastAsia" w:cs="宋体"/>
          <w:kern w:val="0"/>
          <w:sz w:val="24"/>
          <w:szCs w:val="24"/>
        </w:rPr>
        <w:t>300号)同时废止。</w:t>
      </w:r>
    </w:p>
    <w:p w:rsidR="00A1391B" w:rsidRDefault="00A1391B" w:rsidP="00A1391B">
      <w:pPr>
        <w:rPr>
          <w:rFonts w:ascii="ˎ̥" w:hAnsi="ˎ̥" w:hint="eastAsia"/>
          <w:b/>
          <w:bCs/>
          <w:color w:val="185895"/>
        </w:rPr>
      </w:pPr>
    </w:p>
    <w:p w:rsidR="00A1391B" w:rsidRDefault="00A1391B" w:rsidP="00A1391B">
      <w:pPr>
        <w:rPr>
          <w:rFonts w:ascii="ˎ̥" w:hAnsi="ˎ̥" w:hint="eastAsia"/>
          <w:b/>
          <w:bCs/>
          <w:color w:val="185895"/>
        </w:rPr>
      </w:pPr>
    </w:p>
    <w:tbl>
      <w:tblPr>
        <w:tblW w:w="4250" w:type="pct"/>
        <w:jc w:val="center"/>
        <w:tblCellSpacing w:w="0" w:type="dxa"/>
        <w:tblCellMar>
          <w:left w:w="0" w:type="dxa"/>
          <w:right w:w="0" w:type="dxa"/>
        </w:tblCellMar>
        <w:tblLook w:val="04A0" w:firstRow="1" w:lastRow="0" w:firstColumn="1" w:lastColumn="0" w:noHBand="0" w:noVBand="1"/>
      </w:tblPr>
      <w:tblGrid>
        <w:gridCol w:w="914"/>
        <w:gridCol w:w="7392"/>
      </w:tblGrid>
      <w:tr w:rsidR="00A1391B" w:rsidRPr="00A1391B">
        <w:trPr>
          <w:tblCellSpacing w:w="0" w:type="dxa"/>
          <w:jc w:val="center"/>
        </w:trPr>
        <w:tc>
          <w:tcPr>
            <w:tcW w:w="0" w:type="auto"/>
            <w:gridSpan w:val="2"/>
            <w:vAlign w:val="center"/>
            <w:hideMark/>
          </w:tcPr>
          <w:tbl>
            <w:tblPr>
              <w:tblW w:w="0" w:type="auto"/>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1642"/>
              <w:gridCol w:w="1016"/>
              <w:gridCol w:w="1217"/>
              <w:gridCol w:w="4415"/>
            </w:tblGrid>
            <w:tr w:rsidR="00A1391B" w:rsidRPr="00A1391B" w:rsidTr="00A1391B">
              <w:tc>
                <w:tcPr>
                  <w:tcW w:w="1642"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附件</w:t>
                  </w:r>
                  <w:r w:rsidRPr="00A1391B">
                    <w:rPr>
                      <w:rFonts w:ascii="ˎ̥" w:eastAsia="宋体" w:hAnsi="ˎ̥" w:cs="宋体"/>
                      <w:kern w:val="0"/>
                      <w:sz w:val="12"/>
                      <w:szCs w:val="12"/>
                    </w:rPr>
                    <w:t>2</w:t>
                  </w:r>
                </w:p>
              </w:tc>
              <w:tc>
                <w:tcPr>
                  <w:tcW w:w="1016"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line="432" w:lineRule="auto"/>
                    <w:jc w:val="left"/>
                    <w:rPr>
                      <w:rFonts w:ascii="ˎ̥" w:eastAsia="宋体" w:hAnsi="ˎ̥" w:cs="宋体" w:hint="eastAsia"/>
                      <w:kern w:val="0"/>
                      <w:sz w:val="12"/>
                      <w:szCs w:val="12"/>
                    </w:rPr>
                  </w:pPr>
                  <w:r w:rsidRPr="00A1391B">
                    <w:rPr>
                      <w:rFonts w:ascii="ˎ̥" w:eastAsia="宋体" w:hAnsi="ˎ̥" w:cs="宋体"/>
                      <w:kern w:val="0"/>
                      <w:sz w:val="12"/>
                      <w:szCs w:val="12"/>
                    </w:rPr>
                    <w:t> </w:t>
                  </w:r>
                </w:p>
              </w:tc>
              <w:tc>
                <w:tcPr>
                  <w:tcW w:w="1217"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line="432" w:lineRule="auto"/>
                    <w:jc w:val="left"/>
                    <w:rPr>
                      <w:rFonts w:ascii="ˎ̥" w:eastAsia="宋体" w:hAnsi="ˎ̥" w:cs="宋体" w:hint="eastAsia"/>
                      <w:kern w:val="0"/>
                      <w:sz w:val="12"/>
                      <w:szCs w:val="12"/>
                    </w:rPr>
                  </w:pPr>
                  <w:r w:rsidRPr="00A1391B">
                    <w:rPr>
                      <w:rFonts w:ascii="ˎ̥" w:eastAsia="宋体" w:hAnsi="ˎ̥" w:cs="宋体"/>
                      <w:kern w:val="0"/>
                      <w:sz w:val="12"/>
                      <w:szCs w:val="12"/>
                    </w:rPr>
                    <w:t> </w:t>
                  </w:r>
                </w:p>
              </w:tc>
              <w:tc>
                <w:tcPr>
                  <w:tcW w:w="4415"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line="432" w:lineRule="auto"/>
                    <w:jc w:val="left"/>
                    <w:rPr>
                      <w:rFonts w:ascii="ˎ̥" w:eastAsia="宋体" w:hAnsi="ˎ̥" w:cs="宋体" w:hint="eastAsia"/>
                      <w:kern w:val="0"/>
                      <w:sz w:val="12"/>
                      <w:szCs w:val="12"/>
                    </w:rPr>
                  </w:pPr>
                  <w:r w:rsidRPr="00A1391B">
                    <w:rPr>
                      <w:rFonts w:ascii="ˎ̥" w:eastAsia="宋体" w:hAnsi="ˎ̥" w:cs="宋体"/>
                      <w:kern w:val="0"/>
                      <w:sz w:val="12"/>
                      <w:szCs w:val="12"/>
                    </w:rPr>
                    <w:t> </w:t>
                  </w:r>
                </w:p>
              </w:tc>
            </w:tr>
            <w:tr w:rsidR="00A1391B" w:rsidRPr="00A1391B" w:rsidTr="00A1391B">
              <w:tc>
                <w:tcPr>
                  <w:tcW w:w="8290" w:type="dxa"/>
                  <w:gridSpan w:val="4"/>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center"/>
                    <w:rPr>
                      <w:rFonts w:ascii="ˎ̥" w:eastAsia="宋体" w:hAnsi="ˎ̥" w:cs="宋体" w:hint="eastAsia"/>
                      <w:kern w:val="0"/>
                      <w:sz w:val="12"/>
                      <w:szCs w:val="12"/>
                    </w:rPr>
                  </w:pPr>
                  <w:r w:rsidRPr="00A1391B">
                    <w:rPr>
                      <w:rFonts w:ascii="ˎ̥" w:eastAsia="宋体" w:hAnsi="ˎ̥" w:cs="宋体"/>
                      <w:kern w:val="0"/>
                      <w:sz w:val="12"/>
                      <w:szCs w:val="12"/>
                    </w:rPr>
                    <w:t>项目建设管理费总额控制数费率表</w:t>
                  </w:r>
                </w:p>
              </w:tc>
            </w:tr>
            <w:tr w:rsidR="00A1391B" w:rsidRPr="00A1391B" w:rsidTr="00A1391B">
              <w:tc>
                <w:tcPr>
                  <w:tcW w:w="1642"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line="432" w:lineRule="auto"/>
                    <w:jc w:val="left"/>
                    <w:rPr>
                      <w:rFonts w:ascii="ˎ̥" w:eastAsia="宋体" w:hAnsi="ˎ̥" w:cs="宋体" w:hint="eastAsia"/>
                      <w:kern w:val="0"/>
                      <w:sz w:val="12"/>
                      <w:szCs w:val="12"/>
                    </w:rPr>
                  </w:pPr>
                  <w:r w:rsidRPr="00A1391B">
                    <w:rPr>
                      <w:rFonts w:ascii="ˎ̥" w:eastAsia="宋体" w:hAnsi="ˎ̥" w:cs="宋体"/>
                      <w:kern w:val="0"/>
                      <w:sz w:val="12"/>
                      <w:szCs w:val="12"/>
                    </w:rPr>
                    <w:t> </w:t>
                  </w:r>
                </w:p>
              </w:tc>
              <w:tc>
                <w:tcPr>
                  <w:tcW w:w="1016"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line="432" w:lineRule="auto"/>
                    <w:jc w:val="left"/>
                    <w:rPr>
                      <w:rFonts w:ascii="ˎ̥" w:eastAsia="宋体" w:hAnsi="ˎ̥" w:cs="宋体" w:hint="eastAsia"/>
                      <w:kern w:val="0"/>
                      <w:sz w:val="12"/>
                      <w:szCs w:val="12"/>
                    </w:rPr>
                  </w:pPr>
                  <w:r w:rsidRPr="00A1391B">
                    <w:rPr>
                      <w:rFonts w:ascii="ˎ̥" w:eastAsia="宋体" w:hAnsi="ˎ̥" w:cs="宋体"/>
                      <w:kern w:val="0"/>
                      <w:sz w:val="12"/>
                      <w:szCs w:val="12"/>
                    </w:rPr>
                    <w:t> </w:t>
                  </w:r>
                </w:p>
              </w:tc>
              <w:tc>
                <w:tcPr>
                  <w:tcW w:w="1217"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line="432" w:lineRule="auto"/>
                    <w:jc w:val="left"/>
                    <w:rPr>
                      <w:rFonts w:ascii="ˎ̥" w:eastAsia="宋体" w:hAnsi="ˎ̥" w:cs="宋体" w:hint="eastAsia"/>
                      <w:kern w:val="0"/>
                      <w:sz w:val="12"/>
                      <w:szCs w:val="12"/>
                    </w:rPr>
                  </w:pPr>
                  <w:r w:rsidRPr="00A1391B">
                    <w:rPr>
                      <w:rFonts w:ascii="ˎ̥" w:eastAsia="宋体" w:hAnsi="ˎ̥" w:cs="宋体"/>
                      <w:kern w:val="0"/>
                      <w:sz w:val="12"/>
                      <w:szCs w:val="12"/>
                    </w:rPr>
                    <w:t> </w:t>
                  </w:r>
                </w:p>
              </w:tc>
              <w:tc>
                <w:tcPr>
                  <w:tcW w:w="4415"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单位：万元</w:t>
                  </w:r>
                </w:p>
              </w:tc>
            </w:tr>
            <w:tr w:rsidR="00A1391B" w:rsidRPr="00A1391B" w:rsidTr="00A1391B">
              <w:tc>
                <w:tcPr>
                  <w:tcW w:w="1642" w:type="dxa"/>
                  <w:vMerge w:val="restart"/>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center"/>
                    <w:rPr>
                      <w:rFonts w:ascii="ˎ̥" w:eastAsia="宋体" w:hAnsi="ˎ̥" w:cs="宋体" w:hint="eastAsia"/>
                      <w:kern w:val="0"/>
                      <w:sz w:val="12"/>
                      <w:szCs w:val="12"/>
                    </w:rPr>
                  </w:pPr>
                  <w:r w:rsidRPr="00A1391B">
                    <w:rPr>
                      <w:rFonts w:ascii="ˎ̥" w:eastAsia="宋体" w:hAnsi="ˎ̥" w:cs="宋体"/>
                      <w:kern w:val="0"/>
                      <w:sz w:val="12"/>
                      <w:szCs w:val="12"/>
                    </w:rPr>
                    <w:t>工程总概算</w:t>
                  </w:r>
                </w:p>
              </w:tc>
              <w:tc>
                <w:tcPr>
                  <w:tcW w:w="1016" w:type="dxa"/>
                  <w:vMerge w:val="restart"/>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center"/>
                    <w:rPr>
                      <w:rFonts w:ascii="ˎ̥" w:eastAsia="宋体" w:hAnsi="ˎ̥" w:cs="宋体" w:hint="eastAsia"/>
                      <w:kern w:val="0"/>
                      <w:sz w:val="12"/>
                      <w:szCs w:val="12"/>
                    </w:rPr>
                  </w:pPr>
                  <w:r w:rsidRPr="00A1391B">
                    <w:rPr>
                      <w:rFonts w:ascii="ˎ̥" w:eastAsia="宋体" w:hAnsi="ˎ̥" w:cs="宋体"/>
                      <w:kern w:val="0"/>
                      <w:sz w:val="12"/>
                      <w:szCs w:val="12"/>
                    </w:rPr>
                    <w:t>费率</w:t>
                  </w:r>
                  <w:r w:rsidRPr="00A1391B">
                    <w:rPr>
                      <w:rFonts w:ascii="ˎ̥" w:eastAsia="宋体" w:hAnsi="ˎ̥" w:cs="宋体"/>
                      <w:kern w:val="0"/>
                      <w:sz w:val="12"/>
                      <w:szCs w:val="12"/>
                    </w:rPr>
                    <w:t>(</w:t>
                  </w:r>
                  <w:r w:rsidRPr="00A1391B">
                    <w:rPr>
                      <w:rFonts w:ascii="ˎ̥" w:eastAsia="宋体" w:hAnsi="ˎ̥" w:cs="宋体"/>
                      <w:kern w:val="0"/>
                      <w:sz w:val="12"/>
                      <w:szCs w:val="12"/>
                    </w:rPr>
                    <w:t>％</w:t>
                  </w:r>
                  <w:r w:rsidRPr="00A1391B">
                    <w:rPr>
                      <w:rFonts w:ascii="ˎ̥" w:eastAsia="宋体" w:hAnsi="ˎ̥" w:cs="宋体"/>
                      <w:kern w:val="0"/>
                      <w:sz w:val="12"/>
                      <w:szCs w:val="12"/>
                    </w:rPr>
                    <w:t>)</w:t>
                  </w:r>
                </w:p>
              </w:tc>
              <w:tc>
                <w:tcPr>
                  <w:tcW w:w="5632" w:type="dxa"/>
                  <w:gridSpan w:val="2"/>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center"/>
                    <w:rPr>
                      <w:rFonts w:ascii="ˎ̥" w:eastAsia="宋体" w:hAnsi="ˎ̥" w:cs="宋体" w:hint="eastAsia"/>
                      <w:kern w:val="0"/>
                      <w:sz w:val="12"/>
                      <w:szCs w:val="12"/>
                    </w:rPr>
                  </w:pPr>
                  <w:r w:rsidRPr="00A1391B">
                    <w:rPr>
                      <w:rFonts w:ascii="ˎ̥" w:eastAsia="宋体" w:hAnsi="ˎ̥" w:cs="宋体"/>
                      <w:kern w:val="0"/>
                      <w:sz w:val="12"/>
                      <w:szCs w:val="12"/>
                    </w:rPr>
                    <w:t>算</w:t>
                  </w:r>
                  <w:r w:rsidRPr="00A1391B">
                    <w:rPr>
                      <w:rFonts w:ascii="ˎ̥" w:eastAsia="宋体" w:hAnsi="ˎ̥" w:cs="宋体"/>
                      <w:kern w:val="0"/>
                      <w:sz w:val="12"/>
                      <w:szCs w:val="12"/>
                    </w:rPr>
                    <w:t xml:space="preserve">    </w:t>
                  </w:r>
                  <w:r w:rsidRPr="00A1391B">
                    <w:rPr>
                      <w:rFonts w:ascii="ˎ̥" w:eastAsia="宋体" w:hAnsi="ˎ̥" w:cs="宋体"/>
                      <w:kern w:val="0"/>
                      <w:sz w:val="12"/>
                      <w:szCs w:val="12"/>
                    </w:rPr>
                    <w:t>例</w:t>
                  </w:r>
                </w:p>
              </w:tc>
            </w:tr>
            <w:tr w:rsidR="00A1391B" w:rsidRPr="00A1391B" w:rsidTr="00A1391B">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A1391B" w:rsidRPr="00A1391B" w:rsidRDefault="00A1391B" w:rsidP="00A1391B">
                  <w:pPr>
                    <w:widowControl/>
                    <w:jc w:val="left"/>
                    <w:rPr>
                      <w:rFonts w:ascii="ˎ̥" w:eastAsia="宋体" w:hAnsi="ˎ̥" w:cs="宋体" w:hint="eastAsia"/>
                      <w:kern w:val="0"/>
                      <w:sz w:val="12"/>
                      <w:szCs w:val="12"/>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A1391B" w:rsidRPr="00A1391B" w:rsidRDefault="00A1391B" w:rsidP="00A1391B">
                  <w:pPr>
                    <w:widowControl/>
                    <w:jc w:val="left"/>
                    <w:rPr>
                      <w:rFonts w:ascii="ˎ̥" w:eastAsia="宋体" w:hAnsi="ˎ̥" w:cs="宋体" w:hint="eastAsia"/>
                      <w:kern w:val="0"/>
                      <w:sz w:val="12"/>
                      <w:szCs w:val="12"/>
                    </w:rPr>
                  </w:pPr>
                </w:p>
              </w:tc>
              <w:tc>
                <w:tcPr>
                  <w:tcW w:w="1217"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工程总概算</w:t>
                  </w:r>
                </w:p>
              </w:tc>
              <w:tc>
                <w:tcPr>
                  <w:tcW w:w="4415"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项目建设管理费</w:t>
                  </w:r>
                </w:p>
              </w:tc>
            </w:tr>
            <w:tr w:rsidR="00A1391B" w:rsidRPr="00A1391B" w:rsidTr="00A1391B">
              <w:tc>
                <w:tcPr>
                  <w:tcW w:w="1642"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1000</w:t>
                  </w:r>
                  <w:r w:rsidRPr="00A1391B">
                    <w:rPr>
                      <w:rFonts w:ascii="ˎ̥" w:eastAsia="宋体" w:hAnsi="ˎ̥" w:cs="宋体"/>
                      <w:kern w:val="0"/>
                      <w:sz w:val="12"/>
                      <w:szCs w:val="12"/>
                    </w:rPr>
                    <w:t>以下</w:t>
                  </w:r>
                </w:p>
              </w:tc>
              <w:tc>
                <w:tcPr>
                  <w:tcW w:w="1016"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2</w:t>
                  </w:r>
                </w:p>
              </w:tc>
              <w:tc>
                <w:tcPr>
                  <w:tcW w:w="1217"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1000</w:t>
                  </w:r>
                </w:p>
              </w:tc>
              <w:tc>
                <w:tcPr>
                  <w:tcW w:w="4415"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1000×2</w:t>
                  </w:r>
                  <w:r w:rsidRPr="00A1391B">
                    <w:rPr>
                      <w:rFonts w:ascii="ˎ̥" w:eastAsia="宋体" w:hAnsi="ˎ̥" w:cs="宋体"/>
                      <w:kern w:val="0"/>
                      <w:sz w:val="12"/>
                      <w:szCs w:val="12"/>
                    </w:rPr>
                    <w:t>％＝</w:t>
                  </w:r>
                  <w:r w:rsidRPr="00A1391B">
                    <w:rPr>
                      <w:rFonts w:ascii="ˎ̥" w:eastAsia="宋体" w:hAnsi="ˎ̥" w:cs="宋体"/>
                      <w:kern w:val="0"/>
                      <w:sz w:val="12"/>
                      <w:szCs w:val="12"/>
                    </w:rPr>
                    <w:t>20</w:t>
                  </w:r>
                </w:p>
              </w:tc>
            </w:tr>
            <w:tr w:rsidR="00A1391B" w:rsidRPr="00A1391B" w:rsidTr="00A1391B">
              <w:tc>
                <w:tcPr>
                  <w:tcW w:w="1642"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1001</w:t>
                  </w:r>
                  <w:r w:rsidRPr="00A1391B">
                    <w:rPr>
                      <w:rFonts w:ascii="ˎ̥" w:eastAsia="宋体" w:hAnsi="ˎ̥" w:cs="宋体"/>
                      <w:kern w:val="0"/>
                      <w:sz w:val="12"/>
                      <w:szCs w:val="12"/>
                    </w:rPr>
                    <w:t>－</w:t>
                  </w:r>
                  <w:r w:rsidRPr="00A1391B">
                    <w:rPr>
                      <w:rFonts w:ascii="ˎ̥" w:eastAsia="宋体" w:hAnsi="ˎ̥" w:cs="宋体"/>
                      <w:kern w:val="0"/>
                      <w:sz w:val="12"/>
                      <w:szCs w:val="12"/>
                    </w:rPr>
                    <w:t>5000</w:t>
                  </w:r>
                </w:p>
              </w:tc>
              <w:tc>
                <w:tcPr>
                  <w:tcW w:w="1016"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1.5</w:t>
                  </w:r>
                </w:p>
              </w:tc>
              <w:tc>
                <w:tcPr>
                  <w:tcW w:w="1217"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5000</w:t>
                  </w:r>
                </w:p>
              </w:tc>
              <w:tc>
                <w:tcPr>
                  <w:tcW w:w="4415"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20</w:t>
                  </w:r>
                  <w:r w:rsidRPr="00A1391B">
                    <w:rPr>
                      <w:rFonts w:ascii="ˎ̥" w:eastAsia="宋体" w:hAnsi="ˎ̥" w:cs="宋体"/>
                      <w:kern w:val="0"/>
                      <w:sz w:val="12"/>
                      <w:szCs w:val="12"/>
                    </w:rPr>
                    <w:t>＋</w:t>
                  </w:r>
                  <w:r w:rsidRPr="00A1391B">
                    <w:rPr>
                      <w:rFonts w:ascii="ˎ̥" w:eastAsia="宋体" w:hAnsi="ˎ̥" w:cs="宋体"/>
                      <w:kern w:val="0"/>
                      <w:sz w:val="12"/>
                      <w:szCs w:val="12"/>
                    </w:rPr>
                    <w:t>(5000</w:t>
                  </w:r>
                  <w:r w:rsidRPr="00A1391B">
                    <w:rPr>
                      <w:rFonts w:ascii="ˎ̥" w:eastAsia="宋体" w:hAnsi="ˎ̥" w:cs="宋体"/>
                      <w:kern w:val="0"/>
                      <w:sz w:val="12"/>
                      <w:szCs w:val="12"/>
                    </w:rPr>
                    <w:t>－</w:t>
                  </w:r>
                  <w:r w:rsidRPr="00A1391B">
                    <w:rPr>
                      <w:rFonts w:ascii="ˎ̥" w:eastAsia="宋体" w:hAnsi="ˎ̥" w:cs="宋体"/>
                      <w:kern w:val="0"/>
                      <w:sz w:val="12"/>
                      <w:szCs w:val="12"/>
                    </w:rPr>
                    <w:t>1000)×1.5</w:t>
                  </w:r>
                  <w:r w:rsidRPr="00A1391B">
                    <w:rPr>
                      <w:rFonts w:ascii="ˎ̥" w:eastAsia="宋体" w:hAnsi="ˎ̥" w:cs="宋体"/>
                      <w:kern w:val="0"/>
                      <w:sz w:val="12"/>
                      <w:szCs w:val="12"/>
                    </w:rPr>
                    <w:t>％＝</w:t>
                  </w:r>
                  <w:r w:rsidRPr="00A1391B">
                    <w:rPr>
                      <w:rFonts w:ascii="ˎ̥" w:eastAsia="宋体" w:hAnsi="ˎ̥" w:cs="宋体"/>
                      <w:kern w:val="0"/>
                      <w:sz w:val="12"/>
                      <w:szCs w:val="12"/>
                    </w:rPr>
                    <w:t>80</w:t>
                  </w:r>
                </w:p>
              </w:tc>
            </w:tr>
            <w:tr w:rsidR="00A1391B" w:rsidRPr="00A1391B" w:rsidTr="00A1391B">
              <w:tc>
                <w:tcPr>
                  <w:tcW w:w="1642"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5001</w:t>
                  </w:r>
                  <w:r w:rsidRPr="00A1391B">
                    <w:rPr>
                      <w:rFonts w:ascii="ˎ̥" w:eastAsia="宋体" w:hAnsi="ˎ̥" w:cs="宋体"/>
                      <w:kern w:val="0"/>
                      <w:sz w:val="12"/>
                      <w:szCs w:val="12"/>
                    </w:rPr>
                    <w:t>－</w:t>
                  </w:r>
                  <w:r w:rsidRPr="00A1391B">
                    <w:rPr>
                      <w:rFonts w:ascii="ˎ̥" w:eastAsia="宋体" w:hAnsi="ˎ̥" w:cs="宋体"/>
                      <w:kern w:val="0"/>
                      <w:sz w:val="12"/>
                      <w:szCs w:val="12"/>
                    </w:rPr>
                    <w:t>10000</w:t>
                  </w:r>
                </w:p>
              </w:tc>
              <w:tc>
                <w:tcPr>
                  <w:tcW w:w="1016"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1.2</w:t>
                  </w:r>
                </w:p>
              </w:tc>
              <w:tc>
                <w:tcPr>
                  <w:tcW w:w="1217"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10000</w:t>
                  </w:r>
                </w:p>
              </w:tc>
              <w:tc>
                <w:tcPr>
                  <w:tcW w:w="4415"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80</w:t>
                  </w:r>
                  <w:r w:rsidRPr="00A1391B">
                    <w:rPr>
                      <w:rFonts w:ascii="ˎ̥" w:eastAsia="宋体" w:hAnsi="ˎ̥" w:cs="宋体"/>
                      <w:kern w:val="0"/>
                      <w:sz w:val="12"/>
                      <w:szCs w:val="12"/>
                    </w:rPr>
                    <w:t>＋</w:t>
                  </w:r>
                  <w:r w:rsidRPr="00A1391B">
                    <w:rPr>
                      <w:rFonts w:ascii="ˎ̥" w:eastAsia="宋体" w:hAnsi="ˎ̥" w:cs="宋体"/>
                      <w:kern w:val="0"/>
                      <w:sz w:val="12"/>
                      <w:szCs w:val="12"/>
                    </w:rPr>
                    <w:t>(10000</w:t>
                  </w:r>
                  <w:r w:rsidRPr="00A1391B">
                    <w:rPr>
                      <w:rFonts w:ascii="ˎ̥" w:eastAsia="宋体" w:hAnsi="ˎ̥" w:cs="宋体"/>
                      <w:kern w:val="0"/>
                      <w:sz w:val="12"/>
                      <w:szCs w:val="12"/>
                    </w:rPr>
                    <w:t>－</w:t>
                  </w:r>
                  <w:r w:rsidRPr="00A1391B">
                    <w:rPr>
                      <w:rFonts w:ascii="ˎ̥" w:eastAsia="宋体" w:hAnsi="ˎ̥" w:cs="宋体"/>
                      <w:kern w:val="0"/>
                      <w:sz w:val="12"/>
                      <w:szCs w:val="12"/>
                    </w:rPr>
                    <w:t>5000)×1.2</w:t>
                  </w:r>
                  <w:r w:rsidRPr="00A1391B">
                    <w:rPr>
                      <w:rFonts w:ascii="ˎ̥" w:eastAsia="宋体" w:hAnsi="ˎ̥" w:cs="宋体"/>
                      <w:kern w:val="0"/>
                      <w:sz w:val="12"/>
                      <w:szCs w:val="12"/>
                    </w:rPr>
                    <w:t>％＝</w:t>
                  </w:r>
                  <w:r w:rsidRPr="00A1391B">
                    <w:rPr>
                      <w:rFonts w:ascii="ˎ̥" w:eastAsia="宋体" w:hAnsi="ˎ̥" w:cs="宋体"/>
                      <w:kern w:val="0"/>
                      <w:sz w:val="12"/>
                      <w:szCs w:val="12"/>
                    </w:rPr>
                    <w:t>140</w:t>
                  </w:r>
                </w:p>
              </w:tc>
            </w:tr>
            <w:tr w:rsidR="00A1391B" w:rsidRPr="00A1391B" w:rsidTr="00A1391B">
              <w:tc>
                <w:tcPr>
                  <w:tcW w:w="1642"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10001</w:t>
                  </w:r>
                  <w:r w:rsidRPr="00A1391B">
                    <w:rPr>
                      <w:rFonts w:ascii="ˎ̥" w:eastAsia="宋体" w:hAnsi="ˎ̥" w:cs="宋体"/>
                      <w:kern w:val="0"/>
                      <w:sz w:val="12"/>
                      <w:szCs w:val="12"/>
                    </w:rPr>
                    <w:t>－</w:t>
                  </w:r>
                  <w:r w:rsidRPr="00A1391B">
                    <w:rPr>
                      <w:rFonts w:ascii="ˎ̥" w:eastAsia="宋体" w:hAnsi="ˎ̥" w:cs="宋体"/>
                      <w:kern w:val="0"/>
                      <w:sz w:val="12"/>
                      <w:szCs w:val="12"/>
                    </w:rPr>
                    <w:t>50000</w:t>
                  </w:r>
                </w:p>
              </w:tc>
              <w:tc>
                <w:tcPr>
                  <w:tcW w:w="1016"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1</w:t>
                  </w:r>
                </w:p>
              </w:tc>
              <w:tc>
                <w:tcPr>
                  <w:tcW w:w="1217"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50000</w:t>
                  </w:r>
                </w:p>
              </w:tc>
              <w:tc>
                <w:tcPr>
                  <w:tcW w:w="4415"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140</w:t>
                  </w:r>
                  <w:r w:rsidRPr="00A1391B">
                    <w:rPr>
                      <w:rFonts w:ascii="ˎ̥" w:eastAsia="宋体" w:hAnsi="ˎ̥" w:cs="宋体"/>
                      <w:kern w:val="0"/>
                      <w:sz w:val="12"/>
                      <w:szCs w:val="12"/>
                    </w:rPr>
                    <w:t>＋</w:t>
                  </w:r>
                  <w:r w:rsidRPr="00A1391B">
                    <w:rPr>
                      <w:rFonts w:ascii="ˎ̥" w:eastAsia="宋体" w:hAnsi="ˎ̥" w:cs="宋体"/>
                      <w:kern w:val="0"/>
                      <w:sz w:val="12"/>
                      <w:szCs w:val="12"/>
                    </w:rPr>
                    <w:t>(50000</w:t>
                  </w:r>
                  <w:r w:rsidRPr="00A1391B">
                    <w:rPr>
                      <w:rFonts w:ascii="ˎ̥" w:eastAsia="宋体" w:hAnsi="ˎ̥" w:cs="宋体"/>
                      <w:kern w:val="0"/>
                      <w:sz w:val="12"/>
                      <w:szCs w:val="12"/>
                    </w:rPr>
                    <w:t>－</w:t>
                  </w:r>
                  <w:r w:rsidRPr="00A1391B">
                    <w:rPr>
                      <w:rFonts w:ascii="ˎ̥" w:eastAsia="宋体" w:hAnsi="ˎ̥" w:cs="宋体"/>
                      <w:kern w:val="0"/>
                      <w:sz w:val="12"/>
                      <w:szCs w:val="12"/>
                    </w:rPr>
                    <w:t>10000)×1</w:t>
                  </w:r>
                  <w:r w:rsidRPr="00A1391B">
                    <w:rPr>
                      <w:rFonts w:ascii="ˎ̥" w:eastAsia="宋体" w:hAnsi="ˎ̥" w:cs="宋体"/>
                      <w:kern w:val="0"/>
                      <w:sz w:val="12"/>
                      <w:szCs w:val="12"/>
                    </w:rPr>
                    <w:t>％＝</w:t>
                  </w:r>
                  <w:r w:rsidRPr="00A1391B">
                    <w:rPr>
                      <w:rFonts w:ascii="ˎ̥" w:eastAsia="宋体" w:hAnsi="ˎ̥" w:cs="宋体"/>
                      <w:kern w:val="0"/>
                      <w:sz w:val="12"/>
                      <w:szCs w:val="12"/>
                    </w:rPr>
                    <w:t>540</w:t>
                  </w:r>
                </w:p>
              </w:tc>
            </w:tr>
            <w:tr w:rsidR="00A1391B" w:rsidRPr="00A1391B" w:rsidTr="00A1391B">
              <w:tc>
                <w:tcPr>
                  <w:tcW w:w="1642"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50001</w:t>
                  </w:r>
                  <w:r w:rsidRPr="00A1391B">
                    <w:rPr>
                      <w:rFonts w:ascii="ˎ̥" w:eastAsia="宋体" w:hAnsi="ˎ̥" w:cs="宋体"/>
                      <w:kern w:val="0"/>
                      <w:sz w:val="12"/>
                      <w:szCs w:val="12"/>
                    </w:rPr>
                    <w:t>－</w:t>
                  </w:r>
                  <w:r w:rsidRPr="00A1391B">
                    <w:rPr>
                      <w:rFonts w:ascii="ˎ̥" w:eastAsia="宋体" w:hAnsi="ˎ̥" w:cs="宋体"/>
                      <w:kern w:val="0"/>
                      <w:sz w:val="12"/>
                      <w:szCs w:val="12"/>
                    </w:rPr>
                    <w:t>100000</w:t>
                  </w:r>
                </w:p>
              </w:tc>
              <w:tc>
                <w:tcPr>
                  <w:tcW w:w="1016"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0.8</w:t>
                  </w:r>
                </w:p>
              </w:tc>
              <w:tc>
                <w:tcPr>
                  <w:tcW w:w="1217"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100000</w:t>
                  </w:r>
                </w:p>
              </w:tc>
              <w:tc>
                <w:tcPr>
                  <w:tcW w:w="4415"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540</w:t>
                  </w:r>
                  <w:r w:rsidRPr="00A1391B">
                    <w:rPr>
                      <w:rFonts w:ascii="ˎ̥" w:eastAsia="宋体" w:hAnsi="ˎ̥" w:cs="宋体"/>
                      <w:kern w:val="0"/>
                      <w:sz w:val="12"/>
                      <w:szCs w:val="12"/>
                    </w:rPr>
                    <w:t>＋</w:t>
                  </w:r>
                  <w:r w:rsidRPr="00A1391B">
                    <w:rPr>
                      <w:rFonts w:ascii="ˎ̥" w:eastAsia="宋体" w:hAnsi="ˎ̥" w:cs="宋体"/>
                      <w:kern w:val="0"/>
                      <w:sz w:val="12"/>
                      <w:szCs w:val="12"/>
                    </w:rPr>
                    <w:t>(100000</w:t>
                  </w:r>
                  <w:r w:rsidRPr="00A1391B">
                    <w:rPr>
                      <w:rFonts w:ascii="ˎ̥" w:eastAsia="宋体" w:hAnsi="ˎ̥" w:cs="宋体"/>
                      <w:kern w:val="0"/>
                      <w:sz w:val="12"/>
                      <w:szCs w:val="12"/>
                    </w:rPr>
                    <w:t>－</w:t>
                  </w:r>
                  <w:r w:rsidRPr="00A1391B">
                    <w:rPr>
                      <w:rFonts w:ascii="ˎ̥" w:eastAsia="宋体" w:hAnsi="ˎ̥" w:cs="宋体"/>
                      <w:kern w:val="0"/>
                      <w:sz w:val="12"/>
                      <w:szCs w:val="12"/>
                    </w:rPr>
                    <w:t>50000)×0.8</w:t>
                  </w:r>
                  <w:r w:rsidRPr="00A1391B">
                    <w:rPr>
                      <w:rFonts w:ascii="ˎ̥" w:eastAsia="宋体" w:hAnsi="ˎ̥" w:cs="宋体"/>
                      <w:kern w:val="0"/>
                      <w:sz w:val="12"/>
                      <w:szCs w:val="12"/>
                    </w:rPr>
                    <w:t>％＝</w:t>
                  </w:r>
                  <w:r w:rsidRPr="00A1391B">
                    <w:rPr>
                      <w:rFonts w:ascii="ˎ̥" w:eastAsia="宋体" w:hAnsi="ˎ̥" w:cs="宋体"/>
                      <w:kern w:val="0"/>
                      <w:sz w:val="12"/>
                      <w:szCs w:val="12"/>
                    </w:rPr>
                    <w:t>940</w:t>
                  </w:r>
                </w:p>
              </w:tc>
            </w:tr>
            <w:tr w:rsidR="00A1391B" w:rsidRPr="00A1391B" w:rsidTr="00A1391B">
              <w:tc>
                <w:tcPr>
                  <w:tcW w:w="1642"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100000</w:t>
                  </w:r>
                  <w:r w:rsidRPr="00A1391B">
                    <w:rPr>
                      <w:rFonts w:ascii="ˎ̥" w:eastAsia="宋体" w:hAnsi="ˎ̥" w:cs="宋体"/>
                      <w:kern w:val="0"/>
                      <w:sz w:val="12"/>
                      <w:szCs w:val="12"/>
                    </w:rPr>
                    <w:t>以上</w:t>
                  </w:r>
                </w:p>
              </w:tc>
              <w:tc>
                <w:tcPr>
                  <w:tcW w:w="1016"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0.4</w:t>
                  </w:r>
                </w:p>
              </w:tc>
              <w:tc>
                <w:tcPr>
                  <w:tcW w:w="1217"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right"/>
                    <w:rPr>
                      <w:rFonts w:ascii="ˎ̥" w:eastAsia="宋体" w:hAnsi="ˎ̥" w:cs="宋体" w:hint="eastAsia"/>
                      <w:kern w:val="0"/>
                      <w:sz w:val="12"/>
                      <w:szCs w:val="12"/>
                    </w:rPr>
                  </w:pPr>
                  <w:r w:rsidRPr="00A1391B">
                    <w:rPr>
                      <w:rFonts w:ascii="ˎ̥" w:eastAsia="宋体" w:hAnsi="ˎ̥" w:cs="宋体"/>
                      <w:kern w:val="0"/>
                      <w:sz w:val="12"/>
                      <w:szCs w:val="12"/>
                    </w:rPr>
                    <w:t>200000</w:t>
                  </w:r>
                </w:p>
              </w:tc>
              <w:tc>
                <w:tcPr>
                  <w:tcW w:w="4415" w:type="dxa"/>
                  <w:tcBorders>
                    <w:top w:val="outset" w:sz="6" w:space="0" w:color="000000"/>
                    <w:left w:val="outset" w:sz="6" w:space="0" w:color="000000"/>
                    <w:bottom w:val="outset" w:sz="6" w:space="0" w:color="000000"/>
                    <w:right w:val="outset" w:sz="6" w:space="0" w:color="000000"/>
                  </w:tcBorders>
                  <w:noWrap/>
                  <w:vAlign w:val="center"/>
                  <w:hideMark/>
                </w:tcPr>
                <w:p w:rsidR="00A1391B" w:rsidRPr="00A1391B" w:rsidRDefault="00A1391B" w:rsidP="00A1391B">
                  <w:pPr>
                    <w:widowControl/>
                    <w:spacing w:before="100" w:beforeAutospacing="1" w:after="100" w:afterAutospacing="1" w:line="432" w:lineRule="auto"/>
                    <w:jc w:val="left"/>
                    <w:rPr>
                      <w:rFonts w:ascii="ˎ̥" w:eastAsia="宋体" w:hAnsi="ˎ̥" w:cs="宋体" w:hint="eastAsia"/>
                      <w:kern w:val="0"/>
                      <w:sz w:val="12"/>
                      <w:szCs w:val="12"/>
                    </w:rPr>
                  </w:pPr>
                  <w:r w:rsidRPr="00A1391B">
                    <w:rPr>
                      <w:rFonts w:ascii="ˎ̥" w:eastAsia="宋体" w:hAnsi="ˎ̥" w:cs="宋体"/>
                      <w:kern w:val="0"/>
                      <w:sz w:val="12"/>
                      <w:szCs w:val="12"/>
                    </w:rPr>
                    <w:t>940</w:t>
                  </w:r>
                  <w:r w:rsidRPr="00A1391B">
                    <w:rPr>
                      <w:rFonts w:ascii="ˎ̥" w:eastAsia="宋体" w:hAnsi="ˎ̥" w:cs="宋体"/>
                      <w:kern w:val="0"/>
                      <w:sz w:val="12"/>
                      <w:szCs w:val="12"/>
                    </w:rPr>
                    <w:t>＋</w:t>
                  </w:r>
                  <w:r w:rsidRPr="00A1391B">
                    <w:rPr>
                      <w:rFonts w:ascii="ˎ̥" w:eastAsia="宋体" w:hAnsi="ˎ̥" w:cs="宋体"/>
                      <w:kern w:val="0"/>
                      <w:sz w:val="12"/>
                      <w:szCs w:val="12"/>
                    </w:rPr>
                    <w:t>(200000</w:t>
                  </w:r>
                  <w:r w:rsidRPr="00A1391B">
                    <w:rPr>
                      <w:rFonts w:ascii="ˎ̥" w:eastAsia="宋体" w:hAnsi="ˎ̥" w:cs="宋体"/>
                      <w:kern w:val="0"/>
                      <w:sz w:val="12"/>
                      <w:szCs w:val="12"/>
                    </w:rPr>
                    <w:t>－</w:t>
                  </w:r>
                  <w:r w:rsidRPr="00A1391B">
                    <w:rPr>
                      <w:rFonts w:ascii="ˎ̥" w:eastAsia="宋体" w:hAnsi="ˎ̥" w:cs="宋体"/>
                      <w:kern w:val="0"/>
                      <w:sz w:val="12"/>
                      <w:szCs w:val="12"/>
                    </w:rPr>
                    <w:t>100000)×0.4</w:t>
                  </w:r>
                  <w:r w:rsidRPr="00A1391B">
                    <w:rPr>
                      <w:rFonts w:ascii="ˎ̥" w:eastAsia="宋体" w:hAnsi="ˎ̥" w:cs="宋体"/>
                      <w:kern w:val="0"/>
                      <w:sz w:val="12"/>
                      <w:szCs w:val="12"/>
                    </w:rPr>
                    <w:t>％＝</w:t>
                  </w:r>
                  <w:r w:rsidRPr="00A1391B">
                    <w:rPr>
                      <w:rFonts w:ascii="ˎ̥" w:eastAsia="宋体" w:hAnsi="ˎ̥" w:cs="宋体"/>
                      <w:kern w:val="0"/>
                      <w:sz w:val="12"/>
                      <w:szCs w:val="12"/>
                    </w:rPr>
                    <w:t>1340</w:t>
                  </w:r>
                </w:p>
              </w:tc>
            </w:tr>
          </w:tbl>
          <w:p w:rsidR="00A1391B" w:rsidRPr="00A1391B" w:rsidRDefault="00A1391B" w:rsidP="00A1391B">
            <w:pPr>
              <w:widowControl/>
              <w:spacing w:line="432" w:lineRule="auto"/>
              <w:jc w:val="left"/>
              <w:rPr>
                <w:rFonts w:ascii="ˎ̥" w:eastAsia="宋体" w:hAnsi="ˎ̥" w:cs="宋体" w:hint="eastAsia"/>
                <w:kern w:val="0"/>
                <w:sz w:val="16"/>
                <w:szCs w:val="16"/>
              </w:rPr>
            </w:pPr>
          </w:p>
        </w:tc>
      </w:tr>
      <w:tr w:rsidR="00A1391B" w:rsidRPr="00A1391B">
        <w:trPr>
          <w:tblCellSpacing w:w="0" w:type="dxa"/>
          <w:jc w:val="center"/>
          <w:hidden/>
        </w:trPr>
        <w:tc>
          <w:tcPr>
            <w:tcW w:w="550" w:type="pct"/>
            <w:hideMark/>
          </w:tcPr>
          <w:p w:rsidR="00A1391B" w:rsidRPr="00A1391B" w:rsidRDefault="00A1391B" w:rsidP="00A1391B">
            <w:pPr>
              <w:widowControl/>
              <w:spacing w:line="432" w:lineRule="auto"/>
              <w:jc w:val="left"/>
              <w:rPr>
                <w:rFonts w:ascii="ˎ̥" w:eastAsia="宋体" w:hAnsi="ˎ̥" w:cs="宋体" w:hint="eastAsia"/>
                <w:vanish/>
                <w:kern w:val="0"/>
                <w:sz w:val="16"/>
                <w:szCs w:val="16"/>
              </w:rPr>
            </w:pPr>
            <w:r w:rsidRPr="00A1391B">
              <w:rPr>
                <w:rFonts w:ascii="ˎ̥" w:eastAsia="宋体" w:hAnsi="ˎ̥" w:cs="宋体"/>
                <w:vanish/>
                <w:kern w:val="0"/>
                <w:sz w:val="16"/>
                <w:szCs w:val="16"/>
              </w:rPr>
              <w:lastRenderedPageBreak/>
              <w:t xml:space="preserve">  </w:t>
            </w:r>
          </w:p>
          <w:p w:rsidR="00A1391B" w:rsidRPr="00A1391B" w:rsidRDefault="00A1391B" w:rsidP="00A1391B">
            <w:pPr>
              <w:widowControl/>
              <w:spacing w:before="100" w:beforeAutospacing="1" w:after="100" w:afterAutospacing="1" w:line="432" w:lineRule="auto"/>
              <w:jc w:val="left"/>
              <w:rPr>
                <w:rFonts w:ascii="ˎ̥" w:eastAsia="宋体" w:hAnsi="ˎ̥" w:cs="宋体" w:hint="eastAsia"/>
                <w:vanish/>
                <w:kern w:val="0"/>
                <w:sz w:val="16"/>
                <w:szCs w:val="16"/>
              </w:rPr>
            </w:pPr>
            <w:r w:rsidRPr="00A1391B">
              <w:rPr>
                <w:rFonts w:ascii="ˎ̥" w:eastAsia="宋体" w:hAnsi="ˎ̥" w:cs="宋体"/>
                <w:vanish/>
                <w:kern w:val="0"/>
                <w:sz w:val="16"/>
                <w:szCs w:val="16"/>
              </w:rPr>
              <w:t>附件下载</w:t>
            </w:r>
            <w:r w:rsidRPr="00A1391B">
              <w:rPr>
                <w:rFonts w:ascii="ˎ̥" w:eastAsia="宋体" w:hAnsi="ˎ̥" w:cs="宋体"/>
                <w:vanish/>
                <w:kern w:val="0"/>
                <w:sz w:val="16"/>
                <w:szCs w:val="16"/>
              </w:rPr>
              <w:t>:</w:t>
            </w:r>
          </w:p>
        </w:tc>
        <w:tc>
          <w:tcPr>
            <w:tcW w:w="4450" w:type="pct"/>
            <w:hideMark/>
          </w:tcPr>
          <w:p w:rsidR="00A1391B" w:rsidRPr="00A1391B" w:rsidRDefault="00A1391B" w:rsidP="00A1391B">
            <w:pPr>
              <w:widowControl/>
              <w:spacing w:line="432" w:lineRule="auto"/>
              <w:jc w:val="left"/>
              <w:rPr>
                <w:rFonts w:ascii="ˎ̥" w:eastAsia="宋体" w:hAnsi="ˎ̥" w:cs="宋体" w:hint="eastAsia"/>
                <w:vanish/>
                <w:kern w:val="0"/>
                <w:sz w:val="16"/>
                <w:szCs w:val="16"/>
              </w:rPr>
            </w:pPr>
            <w:r w:rsidRPr="00A1391B">
              <w:rPr>
                <w:rFonts w:ascii="ˎ̥" w:eastAsia="宋体" w:hAnsi="ˎ̥" w:cs="宋体"/>
                <w:vanish/>
                <w:kern w:val="0"/>
                <w:sz w:val="16"/>
                <w:szCs w:val="16"/>
              </w:rPr>
              <w:t xml:space="preserve">  </w:t>
            </w:r>
          </w:p>
          <w:p w:rsidR="00A1391B" w:rsidRPr="00A1391B" w:rsidRDefault="00A1391B" w:rsidP="00A1391B">
            <w:pPr>
              <w:widowControl/>
              <w:jc w:val="left"/>
              <w:rPr>
                <w:rFonts w:ascii="ˎ̥" w:eastAsia="宋体" w:hAnsi="ˎ̥" w:cs="宋体" w:hint="eastAsia"/>
                <w:vanish/>
                <w:kern w:val="0"/>
                <w:sz w:val="16"/>
                <w:szCs w:val="16"/>
              </w:rPr>
            </w:pPr>
          </w:p>
        </w:tc>
      </w:tr>
    </w:tbl>
    <w:p w:rsidR="00A1391B" w:rsidRPr="00A1391B" w:rsidRDefault="00A1391B" w:rsidP="00A1391B">
      <w:pPr>
        <w:widowControl/>
        <w:spacing w:line="432" w:lineRule="auto"/>
        <w:jc w:val="center"/>
        <w:rPr>
          <w:rFonts w:ascii="ˎ̥" w:eastAsia="宋体" w:hAnsi="ˎ̥" w:cs="宋体" w:hint="eastAsia"/>
          <w:vanish/>
          <w:kern w:val="0"/>
          <w:sz w:val="12"/>
          <w:szCs w:val="12"/>
        </w:rPr>
      </w:pPr>
    </w:p>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A1391B" w:rsidRPr="00A1391B">
        <w:trPr>
          <w:tblCellSpacing w:w="0" w:type="dxa"/>
          <w:jc w:val="center"/>
        </w:trPr>
        <w:tc>
          <w:tcPr>
            <w:tcW w:w="0" w:type="auto"/>
            <w:vAlign w:val="center"/>
            <w:hideMark/>
          </w:tcPr>
          <w:p w:rsidR="00A1391B" w:rsidRPr="00A1391B" w:rsidRDefault="00A1391B" w:rsidP="00A1391B">
            <w:pPr>
              <w:widowControl/>
              <w:spacing w:before="300" w:after="100" w:afterAutospacing="1" w:line="360" w:lineRule="auto"/>
              <w:jc w:val="right"/>
              <w:rPr>
                <w:rFonts w:ascii="ˎ̥" w:eastAsia="宋体" w:hAnsi="ˎ̥" w:cs="宋体" w:hint="eastAsia"/>
                <w:color w:val="015BA9"/>
                <w:kern w:val="0"/>
                <w:sz w:val="12"/>
                <w:szCs w:val="12"/>
              </w:rPr>
            </w:pPr>
          </w:p>
        </w:tc>
      </w:tr>
    </w:tbl>
    <w:p w:rsidR="00A1391B" w:rsidRPr="00EC2851" w:rsidRDefault="00A1391B" w:rsidP="00A1391B"/>
    <w:sectPr w:rsidR="00A1391B" w:rsidRPr="00EC2851" w:rsidSect="00DA00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2F5" w:rsidRDefault="00B912F5" w:rsidP="00AD3287">
      <w:r>
        <w:separator/>
      </w:r>
    </w:p>
  </w:endnote>
  <w:endnote w:type="continuationSeparator" w:id="0">
    <w:p w:rsidR="00B912F5" w:rsidRDefault="00B912F5" w:rsidP="00AD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2F5" w:rsidRDefault="00B912F5" w:rsidP="00AD3287">
      <w:r>
        <w:separator/>
      </w:r>
    </w:p>
  </w:footnote>
  <w:footnote w:type="continuationSeparator" w:id="0">
    <w:p w:rsidR="00B912F5" w:rsidRDefault="00B912F5" w:rsidP="00AD3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93ED7"/>
    <w:multiLevelType w:val="multilevel"/>
    <w:tmpl w:val="167E4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A06B01"/>
    <w:multiLevelType w:val="multilevel"/>
    <w:tmpl w:val="E4784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5D0208"/>
    <w:multiLevelType w:val="multilevel"/>
    <w:tmpl w:val="12104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A006EB"/>
    <w:multiLevelType w:val="multilevel"/>
    <w:tmpl w:val="27681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892AD5"/>
    <w:multiLevelType w:val="multilevel"/>
    <w:tmpl w:val="CDAE4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81A68"/>
    <w:rsid w:val="0030628A"/>
    <w:rsid w:val="005D1F9B"/>
    <w:rsid w:val="006B3CD5"/>
    <w:rsid w:val="006E65B3"/>
    <w:rsid w:val="00781A68"/>
    <w:rsid w:val="00824473"/>
    <w:rsid w:val="008D7584"/>
    <w:rsid w:val="00944189"/>
    <w:rsid w:val="009C78E1"/>
    <w:rsid w:val="00A1391B"/>
    <w:rsid w:val="00A727A7"/>
    <w:rsid w:val="00AD3287"/>
    <w:rsid w:val="00B912F5"/>
    <w:rsid w:val="00C572E4"/>
    <w:rsid w:val="00D738D4"/>
    <w:rsid w:val="00D868D3"/>
    <w:rsid w:val="00DA0094"/>
    <w:rsid w:val="00E96BA2"/>
    <w:rsid w:val="00EA65CE"/>
    <w:rsid w:val="00EC2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094"/>
    <w:pPr>
      <w:widowControl w:val="0"/>
      <w:jc w:val="both"/>
    </w:pPr>
  </w:style>
  <w:style w:type="paragraph" w:styleId="1">
    <w:name w:val="heading 1"/>
    <w:basedOn w:val="a"/>
    <w:link w:val="1Char"/>
    <w:uiPriority w:val="9"/>
    <w:qFormat/>
    <w:rsid w:val="008D7584"/>
    <w:pPr>
      <w:widowControl/>
      <w:spacing w:line="560" w:lineRule="atLeast"/>
      <w:jc w:val="center"/>
      <w:outlineLvl w:val="0"/>
    </w:pPr>
    <w:rPr>
      <w:rFonts w:ascii="微软雅黑" w:eastAsia="微软雅黑" w:hAnsi="微软雅黑" w:cs="宋体"/>
      <w:kern w:val="36"/>
      <w:sz w:val="38"/>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
    <w:name w:val="font1"/>
    <w:basedOn w:val="a0"/>
    <w:rsid w:val="00781A68"/>
  </w:style>
  <w:style w:type="paragraph" w:styleId="a3">
    <w:name w:val="Normal (Web)"/>
    <w:basedOn w:val="a"/>
    <w:uiPriority w:val="99"/>
    <w:unhideWhenUsed/>
    <w:rsid w:val="00D738D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C572E4"/>
    <w:rPr>
      <w:strike w:val="0"/>
      <w:dstrike w:val="0"/>
      <w:color w:val="000000"/>
      <w:sz w:val="12"/>
      <w:szCs w:val="12"/>
      <w:u w:val="none"/>
      <w:effect w:val="none"/>
    </w:rPr>
  </w:style>
  <w:style w:type="character" w:customStyle="1" w:styleId="1Char">
    <w:name w:val="标题 1 Char"/>
    <w:basedOn w:val="a0"/>
    <w:link w:val="1"/>
    <w:uiPriority w:val="9"/>
    <w:rsid w:val="008D7584"/>
    <w:rPr>
      <w:rFonts w:ascii="微软雅黑" w:eastAsia="微软雅黑" w:hAnsi="微软雅黑" w:cs="宋体"/>
      <w:kern w:val="36"/>
      <w:sz w:val="38"/>
      <w:szCs w:val="38"/>
    </w:rPr>
  </w:style>
  <w:style w:type="character" w:styleId="a5">
    <w:name w:val="Strong"/>
    <w:basedOn w:val="a0"/>
    <w:uiPriority w:val="22"/>
    <w:qFormat/>
    <w:rsid w:val="00A1391B"/>
    <w:rPr>
      <w:b/>
      <w:bCs/>
    </w:rPr>
  </w:style>
  <w:style w:type="paragraph" w:styleId="a6">
    <w:name w:val="header"/>
    <w:basedOn w:val="a"/>
    <w:link w:val="Char"/>
    <w:uiPriority w:val="99"/>
    <w:unhideWhenUsed/>
    <w:rsid w:val="00AD32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D3287"/>
    <w:rPr>
      <w:sz w:val="18"/>
      <w:szCs w:val="18"/>
    </w:rPr>
  </w:style>
  <w:style w:type="paragraph" w:styleId="a7">
    <w:name w:val="footer"/>
    <w:basedOn w:val="a"/>
    <w:link w:val="Char0"/>
    <w:uiPriority w:val="99"/>
    <w:unhideWhenUsed/>
    <w:rsid w:val="00AD3287"/>
    <w:pPr>
      <w:tabs>
        <w:tab w:val="center" w:pos="4153"/>
        <w:tab w:val="right" w:pos="8306"/>
      </w:tabs>
      <w:snapToGrid w:val="0"/>
      <w:jc w:val="left"/>
    </w:pPr>
    <w:rPr>
      <w:sz w:val="18"/>
      <w:szCs w:val="18"/>
    </w:rPr>
  </w:style>
  <w:style w:type="character" w:customStyle="1" w:styleId="Char0">
    <w:name w:val="页脚 Char"/>
    <w:basedOn w:val="a0"/>
    <w:link w:val="a7"/>
    <w:uiPriority w:val="99"/>
    <w:rsid w:val="00AD32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50908">
      <w:bodyDiv w:val="1"/>
      <w:marLeft w:val="0"/>
      <w:marRight w:val="0"/>
      <w:marTop w:val="0"/>
      <w:marBottom w:val="0"/>
      <w:divBdr>
        <w:top w:val="none" w:sz="0" w:space="0" w:color="auto"/>
        <w:left w:val="none" w:sz="0" w:space="0" w:color="auto"/>
        <w:bottom w:val="none" w:sz="0" w:space="0" w:color="auto"/>
        <w:right w:val="none" w:sz="0" w:space="0" w:color="auto"/>
      </w:divBdr>
      <w:divsChild>
        <w:div w:id="2064132583">
          <w:marLeft w:val="0"/>
          <w:marRight w:val="0"/>
          <w:marTop w:val="0"/>
          <w:marBottom w:val="0"/>
          <w:divBdr>
            <w:top w:val="none" w:sz="0" w:space="0" w:color="auto"/>
            <w:left w:val="none" w:sz="0" w:space="0" w:color="auto"/>
            <w:bottom w:val="none" w:sz="0" w:space="0" w:color="auto"/>
            <w:right w:val="none" w:sz="0" w:space="0" w:color="auto"/>
          </w:divBdr>
          <w:divsChild>
            <w:div w:id="902252672">
              <w:marLeft w:val="0"/>
              <w:marRight w:val="0"/>
              <w:marTop w:val="0"/>
              <w:marBottom w:val="0"/>
              <w:divBdr>
                <w:top w:val="none" w:sz="0" w:space="0" w:color="auto"/>
                <w:left w:val="none" w:sz="0" w:space="0" w:color="auto"/>
                <w:bottom w:val="none" w:sz="0" w:space="0" w:color="auto"/>
                <w:right w:val="none" w:sz="0" w:space="0" w:color="auto"/>
              </w:divBdr>
              <w:divsChild>
                <w:div w:id="1102145121">
                  <w:marLeft w:val="0"/>
                  <w:marRight w:val="0"/>
                  <w:marTop w:val="0"/>
                  <w:marBottom w:val="0"/>
                  <w:divBdr>
                    <w:top w:val="none" w:sz="0" w:space="0" w:color="auto"/>
                    <w:left w:val="none" w:sz="0" w:space="0" w:color="auto"/>
                    <w:bottom w:val="none" w:sz="0" w:space="0" w:color="auto"/>
                    <w:right w:val="none" w:sz="0" w:space="0" w:color="auto"/>
                  </w:divBdr>
                  <w:divsChild>
                    <w:div w:id="1041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93055">
      <w:bodyDiv w:val="1"/>
      <w:marLeft w:val="0"/>
      <w:marRight w:val="0"/>
      <w:marTop w:val="0"/>
      <w:marBottom w:val="0"/>
      <w:divBdr>
        <w:top w:val="none" w:sz="0" w:space="0" w:color="auto"/>
        <w:left w:val="none" w:sz="0" w:space="0" w:color="auto"/>
        <w:bottom w:val="none" w:sz="0" w:space="0" w:color="auto"/>
        <w:right w:val="none" w:sz="0" w:space="0" w:color="auto"/>
      </w:divBdr>
      <w:divsChild>
        <w:div w:id="1563639292">
          <w:marLeft w:val="0"/>
          <w:marRight w:val="0"/>
          <w:marTop w:val="0"/>
          <w:marBottom w:val="0"/>
          <w:divBdr>
            <w:top w:val="none" w:sz="0" w:space="0" w:color="auto"/>
            <w:left w:val="none" w:sz="0" w:space="0" w:color="auto"/>
            <w:bottom w:val="none" w:sz="0" w:space="0" w:color="auto"/>
            <w:right w:val="none" w:sz="0" w:space="0" w:color="auto"/>
          </w:divBdr>
          <w:divsChild>
            <w:div w:id="206066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558577">
      <w:bodyDiv w:val="1"/>
      <w:marLeft w:val="0"/>
      <w:marRight w:val="0"/>
      <w:marTop w:val="0"/>
      <w:marBottom w:val="0"/>
      <w:divBdr>
        <w:top w:val="none" w:sz="0" w:space="0" w:color="auto"/>
        <w:left w:val="none" w:sz="0" w:space="0" w:color="auto"/>
        <w:bottom w:val="none" w:sz="0" w:space="0" w:color="auto"/>
        <w:right w:val="none" w:sz="0" w:space="0" w:color="auto"/>
      </w:divBdr>
      <w:divsChild>
        <w:div w:id="1916161260">
          <w:marLeft w:val="0"/>
          <w:marRight w:val="0"/>
          <w:marTop w:val="0"/>
          <w:marBottom w:val="0"/>
          <w:divBdr>
            <w:top w:val="none" w:sz="0" w:space="0" w:color="auto"/>
            <w:left w:val="none" w:sz="0" w:space="0" w:color="auto"/>
            <w:bottom w:val="none" w:sz="0" w:space="0" w:color="auto"/>
            <w:right w:val="none" w:sz="0" w:space="0" w:color="auto"/>
          </w:divBdr>
        </w:div>
      </w:divsChild>
    </w:div>
    <w:div w:id="547567252">
      <w:bodyDiv w:val="1"/>
      <w:marLeft w:val="0"/>
      <w:marRight w:val="0"/>
      <w:marTop w:val="0"/>
      <w:marBottom w:val="0"/>
      <w:divBdr>
        <w:top w:val="none" w:sz="0" w:space="0" w:color="auto"/>
        <w:left w:val="none" w:sz="0" w:space="0" w:color="auto"/>
        <w:bottom w:val="none" w:sz="0" w:space="0" w:color="auto"/>
        <w:right w:val="none" w:sz="0" w:space="0" w:color="auto"/>
      </w:divBdr>
      <w:divsChild>
        <w:div w:id="191698272">
          <w:marLeft w:val="0"/>
          <w:marRight w:val="0"/>
          <w:marTop w:val="0"/>
          <w:marBottom w:val="0"/>
          <w:divBdr>
            <w:top w:val="none" w:sz="0" w:space="0" w:color="auto"/>
            <w:left w:val="none" w:sz="0" w:space="0" w:color="auto"/>
            <w:bottom w:val="none" w:sz="0" w:space="0" w:color="auto"/>
            <w:right w:val="none" w:sz="0" w:space="0" w:color="auto"/>
          </w:divBdr>
          <w:divsChild>
            <w:div w:id="1250312680">
              <w:marLeft w:val="0"/>
              <w:marRight w:val="0"/>
              <w:marTop w:val="0"/>
              <w:marBottom w:val="0"/>
              <w:divBdr>
                <w:top w:val="none" w:sz="0" w:space="0" w:color="auto"/>
                <w:left w:val="none" w:sz="0" w:space="0" w:color="auto"/>
                <w:bottom w:val="none" w:sz="0" w:space="0" w:color="auto"/>
                <w:right w:val="none" w:sz="0" w:space="0" w:color="auto"/>
              </w:divBdr>
              <w:divsChild>
                <w:div w:id="1145705422">
                  <w:marLeft w:val="0"/>
                  <w:marRight w:val="0"/>
                  <w:marTop w:val="0"/>
                  <w:marBottom w:val="0"/>
                  <w:divBdr>
                    <w:top w:val="none" w:sz="0" w:space="0" w:color="auto"/>
                    <w:left w:val="none" w:sz="0" w:space="0" w:color="auto"/>
                    <w:bottom w:val="none" w:sz="0" w:space="0" w:color="auto"/>
                    <w:right w:val="none" w:sz="0" w:space="0" w:color="auto"/>
                  </w:divBdr>
                  <w:divsChild>
                    <w:div w:id="849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997236">
      <w:bodyDiv w:val="1"/>
      <w:marLeft w:val="0"/>
      <w:marRight w:val="0"/>
      <w:marTop w:val="0"/>
      <w:marBottom w:val="0"/>
      <w:divBdr>
        <w:top w:val="none" w:sz="0" w:space="0" w:color="auto"/>
        <w:left w:val="none" w:sz="0" w:space="0" w:color="auto"/>
        <w:bottom w:val="none" w:sz="0" w:space="0" w:color="auto"/>
        <w:right w:val="none" w:sz="0" w:space="0" w:color="auto"/>
      </w:divBdr>
      <w:divsChild>
        <w:div w:id="1187669757">
          <w:marLeft w:val="0"/>
          <w:marRight w:val="0"/>
          <w:marTop w:val="0"/>
          <w:marBottom w:val="0"/>
          <w:divBdr>
            <w:top w:val="none" w:sz="0" w:space="0" w:color="auto"/>
            <w:left w:val="none" w:sz="0" w:space="0" w:color="auto"/>
            <w:bottom w:val="none" w:sz="0" w:space="0" w:color="auto"/>
            <w:right w:val="none" w:sz="0" w:space="0" w:color="auto"/>
          </w:divBdr>
          <w:divsChild>
            <w:div w:id="543635735">
              <w:marLeft w:val="0"/>
              <w:marRight w:val="0"/>
              <w:marTop w:val="0"/>
              <w:marBottom w:val="0"/>
              <w:divBdr>
                <w:top w:val="none" w:sz="0" w:space="0" w:color="auto"/>
                <w:left w:val="none" w:sz="0" w:space="0" w:color="auto"/>
                <w:bottom w:val="none" w:sz="0" w:space="0" w:color="auto"/>
                <w:right w:val="none" w:sz="0" w:space="0" w:color="auto"/>
              </w:divBdr>
              <w:divsChild>
                <w:div w:id="1642149576">
                  <w:marLeft w:val="0"/>
                  <w:marRight w:val="0"/>
                  <w:marTop w:val="0"/>
                  <w:marBottom w:val="0"/>
                  <w:divBdr>
                    <w:top w:val="none" w:sz="0" w:space="0" w:color="auto"/>
                    <w:left w:val="none" w:sz="0" w:space="0" w:color="auto"/>
                    <w:bottom w:val="none" w:sz="0" w:space="0" w:color="auto"/>
                    <w:right w:val="none" w:sz="0" w:space="0" w:color="auto"/>
                  </w:divBdr>
                  <w:divsChild>
                    <w:div w:id="1943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837998">
      <w:bodyDiv w:val="1"/>
      <w:marLeft w:val="0"/>
      <w:marRight w:val="0"/>
      <w:marTop w:val="0"/>
      <w:marBottom w:val="0"/>
      <w:divBdr>
        <w:top w:val="none" w:sz="0" w:space="0" w:color="auto"/>
        <w:left w:val="none" w:sz="0" w:space="0" w:color="auto"/>
        <w:bottom w:val="none" w:sz="0" w:space="0" w:color="auto"/>
        <w:right w:val="none" w:sz="0" w:space="0" w:color="auto"/>
      </w:divBdr>
      <w:divsChild>
        <w:div w:id="1374618225">
          <w:marLeft w:val="0"/>
          <w:marRight w:val="0"/>
          <w:marTop w:val="0"/>
          <w:marBottom w:val="0"/>
          <w:divBdr>
            <w:top w:val="none" w:sz="0" w:space="0" w:color="auto"/>
            <w:left w:val="none" w:sz="0" w:space="0" w:color="auto"/>
            <w:bottom w:val="none" w:sz="0" w:space="0" w:color="auto"/>
            <w:right w:val="none" w:sz="0" w:space="0" w:color="auto"/>
          </w:divBdr>
          <w:divsChild>
            <w:div w:id="26234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5615">
      <w:bodyDiv w:val="1"/>
      <w:marLeft w:val="0"/>
      <w:marRight w:val="0"/>
      <w:marTop w:val="0"/>
      <w:marBottom w:val="0"/>
      <w:divBdr>
        <w:top w:val="none" w:sz="0" w:space="0" w:color="auto"/>
        <w:left w:val="none" w:sz="0" w:space="0" w:color="auto"/>
        <w:bottom w:val="none" w:sz="0" w:space="0" w:color="auto"/>
        <w:right w:val="none" w:sz="0" w:space="0" w:color="auto"/>
      </w:divBdr>
      <w:divsChild>
        <w:div w:id="20715269">
          <w:marLeft w:val="0"/>
          <w:marRight w:val="0"/>
          <w:marTop w:val="0"/>
          <w:marBottom w:val="0"/>
          <w:divBdr>
            <w:top w:val="none" w:sz="0" w:space="0" w:color="auto"/>
            <w:left w:val="none" w:sz="0" w:space="0" w:color="auto"/>
            <w:bottom w:val="none" w:sz="0" w:space="0" w:color="auto"/>
            <w:right w:val="none" w:sz="0" w:space="0" w:color="auto"/>
          </w:divBdr>
          <w:divsChild>
            <w:div w:id="219559069">
              <w:marLeft w:val="0"/>
              <w:marRight w:val="0"/>
              <w:marTop w:val="0"/>
              <w:marBottom w:val="0"/>
              <w:divBdr>
                <w:top w:val="none" w:sz="0" w:space="0" w:color="auto"/>
                <w:left w:val="none" w:sz="0" w:space="0" w:color="auto"/>
                <w:bottom w:val="none" w:sz="0" w:space="0" w:color="auto"/>
                <w:right w:val="none" w:sz="0" w:space="0" w:color="auto"/>
              </w:divBdr>
              <w:divsChild>
                <w:div w:id="1841039000">
                  <w:marLeft w:val="0"/>
                  <w:marRight w:val="0"/>
                  <w:marTop w:val="0"/>
                  <w:marBottom w:val="0"/>
                  <w:divBdr>
                    <w:top w:val="none" w:sz="0" w:space="0" w:color="auto"/>
                    <w:left w:val="none" w:sz="0" w:space="0" w:color="auto"/>
                    <w:bottom w:val="none" w:sz="0" w:space="0" w:color="auto"/>
                    <w:right w:val="none" w:sz="0" w:space="0" w:color="auto"/>
                  </w:divBdr>
                  <w:divsChild>
                    <w:div w:id="289672686">
                      <w:marLeft w:val="0"/>
                      <w:marRight w:val="0"/>
                      <w:marTop w:val="0"/>
                      <w:marBottom w:val="0"/>
                      <w:divBdr>
                        <w:top w:val="none" w:sz="0" w:space="0" w:color="auto"/>
                        <w:left w:val="none" w:sz="0" w:space="0" w:color="auto"/>
                        <w:bottom w:val="none" w:sz="0" w:space="0" w:color="auto"/>
                        <w:right w:val="none" w:sz="0" w:space="0" w:color="auto"/>
                      </w:divBdr>
                      <w:divsChild>
                        <w:div w:id="81483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577881">
      <w:bodyDiv w:val="1"/>
      <w:marLeft w:val="0"/>
      <w:marRight w:val="0"/>
      <w:marTop w:val="0"/>
      <w:marBottom w:val="0"/>
      <w:divBdr>
        <w:top w:val="none" w:sz="0" w:space="0" w:color="auto"/>
        <w:left w:val="none" w:sz="0" w:space="0" w:color="auto"/>
        <w:bottom w:val="none" w:sz="0" w:space="0" w:color="auto"/>
        <w:right w:val="none" w:sz="0" w:space="0" w:color="auto"/>
      </w:divBdr>
      <w:divsChild>
        <w:div w:id="1459645319">
          <w:marLeft w:val="0"/>
          <w:marRight w:val="0"/>
          <w:marTop w:val="0"/>
          <w:marBottom w:val="0"/>
          <w:divBdr>
            <w:top w:val="none" w:sz="0" w:space="0" w:color="auto"/>
            <w:left w:val="none" w:sz="0" w:space="0" w:color="auto"/>
            <w:bottom w:val="none" w:sz="0" w:space="0" w:color="auto"/>
            <w:right w:val="none" w:sz="0" w:space="0" w:color="auto"/>
          </w:divBdr>
          <w:divsChild>
            <w:div w:id="946229910">
              <w:marLeft w:val="0"/>
              <w:marRight w:val="0"/>
              <w:marTop w:val="0"/>
              <w:marBottom w:val="0"/>
              <w:divBdr>
                <w:top w:val="none" w:sz="0" w:space="0" w:color="auto"/>
                <w:left w:val="none" w:sz="0" w:space="0" w:color="auto"/>
                <w:bottom w:val="none" w:sz="0" w:space="0" w:color="auto"/>
                <w:right w:val="none" w:sz="0" w:space="0" w:color="auto"/>
              </w:divBdr>
              <w:divsChild>
                <w:div w:id="705562966">
                  <w:marLeft w:val="0"/>
                  <w:marRight w:val="0"/>
                  <w:marTop w:val="0"/>
                  <w:marBottom w:val="0"/>
                  <w:divBdr>
                    <w:top w:val="none" w:sz="0" w:space="0" w:color="auto"/>
                    <w:left w:val="none" w:sz="0" w:space="0" w:color="auto"/>
                    <w:bottom w:val="none" w:sz="0" w:space="0" w:color="auto"/>
                    <w:right w:val="none" w:sz="0" w:space="0" w:color="auto"/>
                  </w:divBdr>
                  <w:divsChild>
                    <w:div w:id="175755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546650">
      <w:bodyDiv w:val="1"/>
      <w:marLeft w:val="0"/>
      <w:marRight w:val="0"/>
      <w:marTop w:val="0"/>
      <w:marBottom w:val="0"/>
      <w:divBdr>
        <w:top w:val="none" w:sz="0" w:space="0" w:color="auto"/>
        <w:left w:val="none" w:sz="0" w:space="0" w:color="auto"/>
        <w:bottom w:val="none" w:sz="0" w:space="0" w:color="auto"/>
        <w:right w:val="none" w:sz="0" w:space="0" w:color="auto"/>
      </w:divBdr>
      <w:divsChild>
        <w:div w:id="1246185545">
          <w:marLeft w:val="0"/>
          <w:marRight w:val="0"/>
          <w:marTop w:val="0"/>
          <w:marBottom w:val="0"/>
          <w:divBdr>
            <w:top w:val="none" w:sz="0" w:space="0" w:color="auto"/>
            <w:left w:val="none" w:sz="0" w:space="0" w:color="auto"/>
            <w:bottom w:val="none" w:sz="0" w:space="0" w:color="auto"/>
            <w:right w:val="none" w:sz="0" w:space="0" w:color="auto"/>
          </w:divBdr>
          <w:divsChild>
            <w:div w:id="753864377">
              <w:marLeft w:val="0"/>
              <w:marRight w:val="0"/>
              <w:marTop w:val="0"/>
              <w:marBottom w:val="0"/>
              <w:divBdr>
                <w:top w:val="none" w:sz="0" w:space="0" w:color="auto"/>
                <w:left w:val="none" w:sz="0" w:space="0" w:color="auto"/>
                <w:bottom w:val="none" w:sz="0" w:space="0" w:color="auto"/>
                <w:right w:val="none" w:sz="0" w:space="0" w:color="auto"/>
              </w:divBdr>
              <w:divsChild>
                <w:div w:id="346371427">
                  <w:marLeft w:val="0"/>
                  <w:marRight w:val="0"/>
                  <w:marTop w:val="0"/>
                  <w:marBottom w:val="0"/>
                  <w:divBdr>
                    <w:top w:val="none" w:sz="0" w:space="0" w:color="auto"/>
                    <w:left w:val="none" w:sz="0" w:space="0" w:color="auto"/>
                    <w:bottom w:val="none" w:sz="0" w:space="0" w:color="auto"/>
                    <w:right w:val="none" w:sz="0" w:space="0" w:color="auto"/>
                  </w:divBdr>
                  <w:divsChild>
                    <w:div w:id="179201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169511">
      <w:bodyDiv w:val="1"/>
      <w:marLeft w:val="0"/>
      <w:marRight w:val="0"/>
      <w:marTop w:val="0"/>
      <w:marBottom w:val="0"/>
      <w:divBdr>
        <w:top w:val="none" w:sz="0" w:space="0" w:color="auto"/>
        <w:left w:val="none" w:sz="0" w:space="0" w:color="auto"/>
        <w:bottom w:val="none" w:sz="0" w:space="0" w:color="auto"/>
        <w:right w:val="none" w:sz="0" w:space="0" w:color="auto"/>
      </w:divBdr>
      <w:divsChild>
        <w:div w:id="2144106383">
          <w:marLeft w:val="0"/>
          <w:marRight w:val="0"/>
          <w:marTop w:val="0"/>
          <w:marBottom w:val="0"/>
          <w:divBdr>
            <w:top w:val="none" w:sz="0" w:space="0" w:color="auto"/>
            <w:left w:val="none" w:sz="0" w:space="0" w:color="auto"/>
            <w:bottom w:val="none" w:sz="0" w:space="0" w:color="auto"/>
            <w:right w:val="none" w:sz="0" w:space="0" w:color="auto"/>
          </w:divBdr>
          <w:divsChild>
            <w:div w:id="1240797078">
              <w:marLeft w:val="0"/>
              <w:marRight w:val="0"/>
              <w:marTop w:val="0"/>
              <w:marBottom w:val="0"/>
              <w:divBdr>
                <w:top w:val="none" w:sz="0" w:space="0" w:color="auto"/>
                <w:left w:val="none" w:sz="0" w:space="0" w:color="auto"/>
                <w:bottom w:val="none" w:sz="0" w:space="0" w:color="auto"/>
                <w:right w:val="none" w:sz="0" w:space="0" w:color="auto"/>
              </w:divBdr>
              <w:divsChild>
                <w:div w:id="1949703572">
                  <w:marLeft w:val="0"/>
                  <w:marRight w:val="0"/>
                  <w:marTop w:val="0"/>
                  <w:marBottom w:val="0"/>
                  <w:divBdr>
                    <w:top w:val="none" w:sz="0" w:space="0" w:color="auto"/>
                    <w:left w:val="none" w:sz="0" w:space="0" w:color="auto"/>
                    <w:bottom w:val="none" w:sz="0" w:space="0" w:color="auto"/>
                    <w:right w:val="none" w:sz="0" w:space="0" w:color="auto"/>
                  </w:divBdr>
                  <w:divsChild>
                    <w:div w:id="134809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041582">
      <w:bodyDiv w:val="1"/>
      <w:marLeft w:val="0"/>
      <w:marRight w:val="0"/>
      <w:marTop w:val="0"/>
      <w:marBottom w:val="0"/>
      <w:divBdr>
        <w:top w:val="none" w:sz="0" w:space="0" w:color="auto"/>
        <w:left w:val="none" w:sz="0" w:space="0" w:color="auto"/>
        <w:bottom w:val="none" w:sz="0" w:space="0" w:color="auto"/>
        <w:right w:val="none" w:sz="0" w:space="0" w:color="auto"/>
      </w:divBdr>
      <w:divsChild>
        <w:div w:id="1579707912">
          <w:marLeft w:val="0"/>
          <w:marRight w:val="0"/>
          <w:marTop w:val="0"/>
          <w:marBottom w:val="0"/>
          <w:divBdr>
            <w:top w:val="none" w:sz="0" w:space="0" w:color="auto"/>
            <w:left w:val="none" w:sz="0" w:space="0" w:color="auto"/>
            <w:bottom w:val="none" w:sz="0" w:space="0" w:color="auto"/>
            <w:right w:val="none" w:sz="0" w:space="0" w:color="auto"/>
          </w:divBdr>
          <w:divsChild>
            <w:div w:id="1500660883">
              <w:marLeft w:val="0"/>
              <w:marRight w:val="0"/>
              <w:marTop w:val="0"/>
              <w:marBottom w:val="0"/>
              <w:divBdr>
                <w:top w:val="none" w:sz="0" w:space="0" w:color="auto"/>
                <w:left w:val="none" w:sz="0" w:space="0" w:color="auto"/>
                <w:bottom w:val="none" w:sz="0" w:space="0" w:color="auto"/>
                <w:right w:val="none" w:sz="0" w:space="0" w:color="auto"/>
              </w:divBdr>
              <w:divsChild>
                <w:div w:id="1912932638">
                  <w:marLeft w:val="0"/>
                  <w:marRight w:val="0"/>
                  <w:marTop w:val="0"/>
                  <w:marBottom w:val="0"/>
                  <w:divBdr>
                    <w:top w:val="none" w:sz="0" w:space="0" w:color="auto"/>
                    <w:left w:val="none" w:sz="0" w:space="0" w:color="auto"/>
                    <w:bottom w:val="none" w:sz="0" w:space="0" w:color="auto"/>
                    <w:right w:val="none" w:sz="0" w:space="0" w:color="auto"/>
                  </w:divBdr>
                  <w:divsChild>
                    <w:div w:id="57258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770941">
      <w:bodyDiv w:val="1"/>
      <w:marLeft w:val="0"/>
      <w:marRight w:val="0"/>
      <w:marTop w:val="0"/>
      <w:marBottom w:val="0"/>
      <w:divBdr>
        <w:top w:val="none" w:sz="0" w:space="0" w:color="auto"/>
        <w:left w:val="none" w:sz="0" w:space="0" w:color="auto"/>
        <w:bottom w:val="none" w:sz="0" w:space="0" w:color="auto"/>
        <w:right w:val="none" w:sz="0" w:space="0" w:color="auto"/>
      </w:divBdr>
      <w:divsChild>
        <w:div w:id="1285693621">
          <w:marLeft w:val="0"/>
          <w:marRight w:val="0"/>
          <w:marTop w:val="0"/>
          <w:marBottom w:val="0"/>
          <w:divBdr>
            <w:top w:val="none" w:sz="0" w:space="0" w:color="auto"/>
            <w:left w:val="none" w:sz="0" w:space="0" w:color="auto"/>
            <w:bottom w:val="none" w:sz="0" w:space="0" w:color="auto"/>
            <w:right w:val="none" w:sz="0" w:space="0" w:color="auto"/>
          </w:divBdr>
          <w:divsChild>
            <w:div w:id="1947425080">
              <w:marLeft w:val="0"/>
              <w:marRight w:val="0"/>
              <w:marTop w:val="0"/>
              <w:marBottom w:val="0"/>
              <w:divBdr>
                <w:top w:val="none" w:sz="0" w:space="0" w:color="auto"/>
                <w:left w:val="none" w:sz="0" w:space="0" w:color="auto"/>
                <w:bottom w:val="none" w:sz="0" w:space="0" w:color="auto"/>
                <w:right w:val="none" w:sz="0" w:space="0" w:color="auto"/>
              </w:divBdr>
              <w:divsChild>
                <w:div w:id="751850708">
                  <w:marLeft w:val="0"/>
                  <w:marRight w:val="0"/>
                  <w:marTop w:val="0"/>
                  <w:marBottom w:val="0"/>
                  <w:divBdr>
                    <w:top w:val="none" w:sz="0" w:space="0" w:color="auto"/>
                    <w:left w:val="none" w:sz="0" w:space="0" w:color="auto"/>
                    <w:bottom w:val="none" w:sz="0" w:space="0" w:color="auto"/>
                    <w:right w:val="none" w:sz="0" w:space="0" w:color="auto"/>
                  </w:divBdr>
                  <w:divsChild>
                    <w:div w:id="123269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734712">
      <w:bodyDiv w:val="1"/>
      <w:marLeft w:val="0"/>
      <w:marRight w:val="0"/>
      <w:marTop w:val="0"/>
      <w:marBottom w:val="0"/>
      <w:divBdr>
        <w:top w:val="none" w:sz="0" w:space="0" w:color="auto"/>
        <w:left w:val="none" w:sz="0" w:space="0" w:color="auto"/>
        <w:bottom w:val="none" w:sz="0" w:space="0" w:color="auto"/>
        <w:right w:val="none" w:sz="0" w:space="0" w:color="auto"/>
      </w:divBdr>
      <w:divsChild>
        <w:div w:id="2042511887">
          <w:marLeft w:val="0"/>
          <w:marRight w:val="0"/>
          <w:marTop w:val="0"/>
          <w:marBottom w:val="0"/>
          <w:divBdr>
            <w:top w:val="none" w:sz="0" w:space="0" w:color="auto"/>
            <w:left w:val="none" w:sz="0" w:space="0" w:color="auto"/>
            <w:bottom w:val="none" w:sz="0" w:space="0" w:color="auto"/>
            <w:right w:val="none" w:sz="0" w:space="0" w:color="auto"/>
          </w:divBdr>
          <w:divsChild>
            <w:div w:id="1041124978">
              <w:marLeft w:val="0"/>
              <w:marRight w:val="0"/>
              <w:marTop w:val="0"/>
              <w:marBottom w:val="0"/>
              <w:divBdr>
                <w:top w:val="none" w:sz="0" w:space="0" w:color="auto"/>
                <w:left w:val="none" w:sz="0" w:space="0" w:color="auto"/>
                <w:bottom w:val="none" w:sz="0" w:space="0" w:color="auto"/>
                <w:right w:val="none" w:sz="0" w:space="0" w:color="auto"/>
              </w:divBdr>
              <w:divsChild>
                <w:div w:id="980647853">
                  <w:marLeft w:val="0"/>
                  <w:marRight w:val="0"/>
                  <w:marTop w:val="0"/>
                  <w:marBottom w:val="0"/>
                  <w:divBdr>
                    <w:top w:val="none" w:sz="0" w:space="0" w:color="auto"/>
                    <w:left w:val="none" w:sz="0" w:space="0" w:color="auto"/>
                    <w:bottom w:val="none" w:sz="0" w:space="0" w:color="auto"/>
                    <w:right w:val="none" w:sz="0" w:space="0" w:color="auto"/>
                  </w:divBdr>
                  <w:divsChild>
                    <w:div w:id="109702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404551">
      <w:bodyDiv w:val="1"/>
      <w:marLeft w:val="0"/>
      <w:marRight w:val="0"/>
      <w:marTop w:val="0"/>
      <w:marBottom w:val="0"/>
      <w:divBdr>
        <w:top w:val="none" w:sz="0" w:space="0" w:color="auto"/>
        <w:left w:val="none" w:sz="0" w:space="0" w:color="auto"/>
        <w:bottom w:val="none" w:sz="0" w:space="0" w:color="auto"/>
        <w:right w:val="none" w:sz="0" w:space="0" w:color="auto"/>
      </w:divBdr>
      <w:divsChild>
        <w:div w:id="2137795262">
          <w:marLeft w:val="0"/>
          <w:marRight w:val="0"/>
          <w:marTop w:val="0"/>
          <w:marBottom w:val="0"/>
          <w:divBdr>
            <w:top w:val="none" w:sz="0" w:space="0" w:color="auto"/>
            <w:left w:val="none" w:sz="0" w:space="0" w:color="auto"/>
            <w:bottom w:val="none" w:sz="0" w:space="0" w:color="auto"/>
            <w:right w:val="none" w:sz="0" w:space="0" w:color="auto"/>
          </w:divBdr>
          <w:divsChild>
            <w:div w:id="1332106246">
              <w:marLeft w:val="0"/>
              <w:marRight w:val="0"/>
              <w:marTop w:val="0"/>
              <w:marBottom w:val="0"/>
              <w:divBdr>
                <w:top w:val="none" w:sz="0" w:space="0" w:color="auto"/>
                <w:left w:val="none" w:sz="0" w:space="0" w:color="auto"/>
                <w:bottom w:val="none" w:sz="0" w:space="0" w:color="auto"/>
                <w:right w:val="none" w:sz="0" w:space="0" w:color="auto"/>
              </w:divBdr>
              <w:divsChild>
                <w:div w:id="409080438">
                  <w:marLeft w:val="0"/>
                  <w:marRight w:val="0"/>
                  <w:marTop w:val="0"/>
                  <w:marBottom w:val="0"/>
                  <w:divBdr>
                    <w:top w:val="none" w:sz="0" w:space="0" w:color="auto"/>
                    <w:left w:val="none" w:sz="0" w:space="0" w:color="auto"/>
                    <w:bottom w:val="none" w:sz="0" w:space="0" w:color="auto"/>
                    <w:right w:val="none" w:sz="0" w:space="0" w:color="auto"/>
                  </w:divBdr>
                  <w:divsChild>
                    <w:div w:id="149926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54413">
      <w:bodyDiv w:val="1"/>
      <w:marLeft w:val="0"/>
      <w:marRight w:val="0"/>
      <w:marTop w:val="0"/>
      <w:marBottom w:val="0"/>
      <w:divBdr>
        <w:top w:val="none" w:sz="0" w:space="0" w:color="auto"/>
        <w:left w:val="none" w:sz="0" w:space="0" w:color="auto"/>
        <w:bottom w:val="none" w:sz="0" w:space="0" w:color="auto"/>
        <w:right w:val="none" w:sz="0" w:space="0" w:color="auto"/>
      </w:divBdr>
      <w:divsChild>
        <w:div w:id="1875921270">
          <w:marLeft w:val="0"/>
          <w:marRight w:val="0"/>
          <w:marTop w:val="0"/>
          <w:marBottom w:val="0"/>
          <w:divBdr>
            <w:top w:val="none" w:sz="0" w:space="0" w:color="auto"/>
            <w:left w:val="none" w:sz="0" w:space="0" w:color="auto"/>
            <w:bottom w:val="none" w:sz="0" w:space="0" w:color="auto"/>
            <w:right w:val="none" w:sz="0" w:space="0" w:color="auto"/>
          </w:divBdr>
        </w:div>
      </w:divsChild>
    </w:div>
    <w:div w:id="1691880114">
      <w:bodyDiv w:val="1"/>
      <w:marLeft w:val="0"/>
      <w:marRight w:val="0"/>
      <w:marTop w:val="0"/>
      <w:marBottom w:val="0"/>
      <w:divBdr>
        <w:top w:val="none" w:sz="0" w:space="0" w:color="auto"/>
        <w:left w:val="none" w:sz="0" w:space="0" w:color="auto"/>
        <w:bottom w:val="none" w:sz="0" w:space="0" w:color="auto"/>
        <w:right w:val="none" w:sz="0" w:space="0" w:color="auto"/>
      </w:divBdr>
      <w:divsChild>
        <w:div w:id="96994457">
          <w:marLeft w:val="0"/>
          <w:marRight w:val="0"/>
          <w:marTop w:val="0"/>
          <w:marBottom w:val="0"/>
          <w:divBdr>
            <w:top w:val="none" w:sz="0" w:space="0" w:color="auto"/>
            <w:left w:val="none" w:sz="0" w:space="0" w:color="auto"/>
            <w:bottom w:val="none" w:sz="0" w:space="0" w:color="auto"/>
            <w:right w:val="none" w:sz="0" w:space="0" w:color="auto"/>
          </w:divBdr>
        </w:div>
      </w:divsChild>
    </w:div>
    <w:div w:id="1870800495">
      <w:bodyDiv w:val="1"/>
      <w:marLeft w:val="0"/>
      <w:marRight w:val="0"/>
      <w:marTop w:val="0"/>
      <w:marBottom w:val="0"/>
      <w:divBdr>
        <w:top w:val="none" w:sz="0" w:space="0" w:color="auto"/>
        <w:left w:val="none" w:sz="0" w:space="0" w:color="auto"/>
        <w:bottom w:val="none" w:sz="0" w:space="0" w:color="auto"/>
        <w:right w:val="none" w:sz="0" w:space="0" w:color="auto"/>
      </w:divBdr>
      <w:divsChild>
        <w:div w:id="2073505358">
          <w:marLeft w:val="0"/>
          <w:marRight w:val="0"/>
          <w:marTop w:val="0"/>
          <w:marBottom w:val="0"/>
          <w:divBdr>
            <w:top w:val="none" w:sz="0" w:space="0" w:color="auto"/>
            <w:left w:val="none" w:sz="0" w:space="0" w:color="auto"/>
            <w:bottom w:val="none" w:sz="0" w:space="0" w:color="auto"/>
            <w:right w:val="none" w:sz="0" w:space="0" w:color="auto"/>
          </w:divBdr>
          <w:divsChild>
            <w:div w:id="1201436510">
              <w:marLeft w:val="0"/>
              <w:marRight w:val="0"/>
              <w:marTop w:val="0"/>
              <w:marBottom w:val="0"/>
              <w:divBdr>
                <w:top w:val="none" w:sz="0" w:space="0" w:color="auto"/>
                <w:left w:val="none" w:sz="0" w:space="0" w:color="auto"/>
                <w:bottom w:val="none" w:sz="0" w:space="0" w:color="auto"/>
                <w:right w:val="none" w:sz="0" w:space="0" w:color="auto"/>
              </w:divBdr>
              <w:divsChild>
                <w:div w:id="1710050">
                  <w:marLeft w:val="0"/>
                  <w:marRight w:val="0"/>
                  <w:marTop w:val="0"/>
                  <w:marBottom w:val="0"/>
                  <w:divBdr>
                    <w:top w:val="none" w:sz="0" w:space="0" w:color="auto"/>
                    <w:left w:val="none" w:sz="0" w:space="0" w:color="auto"/>
                    <w:bottom w:val="none" w:sz="0" w:space="0" w:color="auto"/>
                    <w:right w:val="none" w:sz="0" w:space="0" w:color="auto"/>
                  </w:divBdr>
                  <w:divsChild>
                    <w:div w:id="7996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091666">
      <w:bodyDiv w:val="1"/>
      <w:marLeft w:val="0"/>
      <w:marRight w:val="0"/>
      <w:marTop w:val="0"/>
      <w:marBottom w:val="0"/>
      <w:divBdr>
        <w:top w:val="none" w:sz="0" w:space="0" w:color="auto"/>
        <w:left w:val="none" w:sz="0" w:space="0" w:color="auto"/>
        <w:bottom w:val="none" w:sz="0" w:space="0" w:color="auto"/>
        <w:right w:val="none" w:sz="0" w:space="0" w:color="auto"/>
      </w:divBdr>
      <w:divsChild>
        <w:div w:id="1657611563">
          <w:marLeft w:val="0"/>
          <w:marRight w:val="0"/>
          <w:marTop w:val="0"/>
          <w:marBottom w:val="0"/>
          <w:divBdr>
            <w:top w:val="none" w:sz="0" w:space="0" w:color="auto"/>
            <w:left w:val="none" w:sz="0" w:space="0" w:color="auto"/>
            <w:bottom w:val="none" w:sz="0" w:space="0" w:color="auto"/>
            <w:right w:val="none" w:sz="0" w:space="0" w:color="auto"/>
          </w:divBdr>
          <w:divsChild>
            <w:div w:id="241986890">
              <w:marLeft w:val="0"/>
              <w:marRight w:val="0"/>
              <w:marTop w:val="0"/>
              <w:marBottom w:val="0"/>
              <w:divBdr>
                <w:top w:val="none" w:sz="0" w:space="0" w:color="auto"/>
                <w:left w:val="none" w:sz="0" w:space="0" w:color="auto"/>
                <w:bottom w:val="none" w:sz="0" w:space="0" w:color="auto"/>
                <w:right w:val="none" w:sz="0" w:space="0" w:color="auto"/>
              </w:divBdr>
              <w:divsChild>
                <w:div w:id="16258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060752">
      <w:bodyDiv w:val="1"/>
      <w:marLeft w:val="0"/>
      <w:marRight w:val="0"/>
      <w:marTop w:val="0"/>
      <w:marBottom w:val="0"/>
      <w:divBdr>
        <w:top w:val="none" w:sz="0" w:space="0" w:color="auto"/>
        <w:left w:val="none" w:sz="0" w:space="0" w:color="auto"/>
        <w:bottom w:val="none" w:sz="0" w:space="0" w:color="auto"/>
        <w:right w:val="none" w:sz="0" w:space="0" w:color="auto"/>
      </w:divBdr>
      <w:divsChild>
        <w:div w:id="499849978">
          <w:marLeft w:val="0"/>
          <w:marRight w:val="0"/>
          <w:marTop w:val="0"/>
          <w:marBottom w:val="0"/>
          <w:divBdr>
            <w:top w:val="none" w:sz="0" w:space="0" w:color="auto"/>
            <w:left w:val="none" w:sz="0" w:space="0" w:color="auto"/>
            <w:bottom w:val="none" w:sz="0" w:space="0" w:color="auto"/>
            <w:right w:val="none" w:sz="0" w:space="0" w:color="auto"/>
          </w:divBdr>
          <w:divsChild>
            <w:div w:id="56444747">
              <w:marLeft w:val="0"/>
              <w:marRight w:val="0"/>
              <w:marTop w:val="0"/>
              <w:marBottom w:val="0"/>
              <w:divBdr>
                <w:top w:val="none" w:sz="0" w:space="0" w:color="auto"/>
                <w:left w:val="none" w:sz="0" w:space="0" w:color="auto"/>
                <w:bottom w:val="none" w:sz="0" w:space="0" w:color="auto"/>
                <w:right w:val="none" w:sz="0" w:space="0" w:color="auto"/>
              </w:divBdr>
              <w:divsChild>
                <w:div w:id="1158301321">
                  <w:marLeft w:val="0"/>
                  <w:marRight w:val="0"/>
                  <w:marTop w:val="0"/>
                  <w:marBottom w:val="0"/>
                  <w:divBdr>
                    <w:top w:val="none" w:sz="0" w:space="0" w:color="auto"/>
                    <w:left w:val="none" w:sz="0" w:space="0" w:color="auto"/>
                    <w:bottom w:val="none" w:sz="0" w:space="0" w:color="auto"/>
                    <w:right w:val="none" w:sz="0" w:space="0" w:color="auto"/>
                  </w:divBdr>
                  <w:divsChild>
                    <w:div w:id="80304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300806">
      <w:bodyDiv w:val="1"/>
      <w:marLeft w:val="0"/>
      <w:marRight w:val="0"/>
      <w:marTop w:val="0"/>
      <w:marBottom w:val="0"/>
      <w:divBdr>
        <w:top w:val="none" w:sz="0" w:space="0" w:color="auto"/>
        <w:left w:val="none" w:sz="0" w:space="0" w:color="auto"/>
        <w:bottom w:val="none" w:sz="0" w:space="0" w:color="auto"/>
        <w:right w:val="none" w:sz="0" w:space="0" w:color="auto"/>
      </w:divBdr>
      <w:divsChild>
        <w:div w:id="1239442298">
          <w:marLeft w:val="0"/>
          <w:marRight w:val="0"/>
          <w:marTop w:val="0"/>
          <w:marBottom w:val="0"/>
          <w:divBdr>
            <w:top w:val="none" w:sz="0" w:space="0" w:color="auto"/>
            <w:left w:val="none" w:sz="0" w:space="0" w:color="auto"/>
            <w:bottom w:val="none" w:sz="0" w:space="0" w:color="auto"/>
            <w:right w:val="none" w:sz="0" w:space="0" w:color="auto"/>
          </w:divBdr>
        </w:div>
      </w:divsChild>
    </w:div>
    <w:div w:id="2049648318">
      <w:bodyDiv w:val="1"/>
      <w:marLeft w:val="0"/>
      <w:marRight w:val="0"/>
      <w:marTop w:val="0"/>
      <w:marBottom w:val="0"/>
      <w:divBdr>
        <w:top w:val="none" w:sz="0" w:space="0" w:color="auto"/>
        <w:left w:val="none" w:sz="0" w:space="0" w:color="auto"/>
        <w:bottom w:val="none" w:sz="0" w:space="0" w:color="auto"/>
        <w:right w:val="none" w:sz="0" w:space="0" w:color="auto"/>
      </w:divBdr>
      <w:divsChild>
        <w:div w:id="1298996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458</Words>
  <Characters>2612</Characters>
  <Application>Microsoft Office Word</Application>
  <DocSecurity>0</DocSecurity>
  <Lines>21</Lines>
  <Paragraphs>6</Paragraphs>
  <ScaleCrop>false</ScaleCrop>
  <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jiaotongbu1</cp:lastModifiedBy>
  <cp:revision>6</cp:revision>
  <dcterms:created xsi:type="dcterms:W3CDTF">2016-08-19T08:36:00Z</dcterms:created>
  <dcterms:modified xsi:type="dcterms:W3CDTF">2016-08-26T01:02:00Z</dcterms:modified>
</cp:coreProperties>
</file>