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680" w:type="dxa"/>
        <w:tblInd w:w="93" w:type="dxa"/>
        <w:tblLayout w:type="fixed"/>
        <w:tblCellMar>
          <w:top w:w="0" w:type="dxa"/>
          <w:left w:w="108" w:type="dxa"/>
          <w:bottom w:w="0" w:type="dxa"/>
          <w:right w:w="108" w:type="dxa"/>
        </w:tblCellMar>
      </w:tblPr>
      <w:tblGrid>
        <w:gridCol w:w="511"/>
        <w:gridCol w:w="1921"/>
        <w:gridCol w:w="4543"/>
        <w:gridCol w:w="2322"/>
        <w:gridCol w:w="2662"/>
        <w:gridCol w:w="1721"/>
      </w:tblGrid>
      <w:tr>
        <w:tblPrEx>
          <w:tblCellMar>
            <w:top w:w="0" w:type="dxa"/>
            <w:left w:w="108" w:type="dxa"/>
            <w:bottom w:w="0" w:type="dxa"/>
            <w:right w:w="108" w:type="dxa"/>
          </w:tblCellMar>
        </w:tblPrEx>
        <w:trPr>
          <w:trHeight w:val="624" w:hRule="atLeast"/>
        </w:trPr>
        <w:tc>
          <w:tcPr>
            <w:tcW w:w="13680" w:type="dxa"/>
            <w:gridSpan w:val="6"/>
            <w:vMerge w:val="restart"/>
            <w:tcBorders>
              <w:top w:val="nil"/>
              <w:left w:val="nil"/>
              <w:bottom w:val="nil"/>
              <w:right w:val="nil"/>
            </w:tcBorders>
            <w:shd w:val="clear" w:color="auto" w:fill="auto"/>
            <w:vAlign w:val="bottom"/>
          </w:tcPr>
          <w:p>
            <w:pPr>
              <w:widowControl/>
              <w:jc w:val="center"/>
              <w:rPr>
                <w:rFonts w:ascii="宋体" w:hAnsi="宋体" w:eastAsia="宋体" w:cs="宋体"/>
                <w:kern w:val="0"/>
                <w:sz w:val="40"/>
                <w:szCs w:val="40"/>
              </w:rPr>
            </w:pPr>
            <w:r>
              <w:rPr>
                <w:rFonts w:hint="eastAsia" w:ascii="宋体" w:hAnsi="宋体" w:eastAsia="宋体" w:cs="宋体"/>
                <w:kern w:val="0"/>
                <w:sz w:val="40"/>
                <w:szCs w:val="40"/>
              </w:rPr>
              <w:br w:type="textWrapping"/>
            </w:r>
            <w:r>
              <w:rPr>
                <w:rFonts w:hint="eastAsia" w:ascii="宋体" w:hAnsi="宋体" w:eastAsia="宋体" w:cs="宋体"/>
                <w:kern w:val="0"/>
                <w:sz w:val="40"/>
                <w:szCs w:val="40"/>
                <w:lang w:eastAsia="zh-CN"/>
              </w:rPr>
              <w:t>广西</w:t>
            </w:r>
            <w:r>
              <w:rPr>
                <w:rFonts w:hint="eastAsia" w:ascii="宋体" w:hAnsi="宋体" w:eastAsia="宋体" w:cs="宋体"/>
                <w:kern w:val="0"/>
                <w:sz w:val="40"/>
                <w:szCs w:val="40"/>
              </w:rPr>
              <w:t>海事局20</w:t>
            </w:r>
            <w:r>
              <w:rPr>
                <w:rFonts w:hint="eastAsia" w:ascii="宋体" w:hAnsi="宋体" w:eastAsia="宋体" w:cs="宋体"/>
                <w:kern w:val="0"/>
                <w:sz w:val="40"/>
                <w:szCs w:val="40"/>
                <w:lang w:val="en-US" w:eastAsia="zh-CN"/>
              </w:rPr>
              <w:t>20</w:t>
            </w:r>
            <w:r>
              <w:rPr>
                <w:rFonts w:hint="eastAsia" w:ascii="宋体" w:hAnsi="宋体" w:eastAsia="宋体" w:cs="宋体"/>
                <w:kern w:val="0"/>
                <w:sz w:val="40"/>
                <w:szCs w:val="40"/>
              </w:rPr>
              <w:t>年双随机检查结果公示</w:t>
            </w:r>
          </w:p>
        </w:tc>
      </w:tr>
      <w:tr>
        <w:tblPrEx>
          <w:tblCellMar>
            <w:top w:w="0" w:type="dxa"/>
            <w:left w:w="108" w:type="dxa"/>
            <w:bottom w:w="0" w:type="dxa"/>
            <w:right w:w="108" w:type="dxa"/>
          </w:tblCellMar>
        </w:tblPrEx>
        <w:trPr>
          <w:trHeight w:val="645" w:hRule="atLeast"/>
        </w:trPr>
        <w:tc>
          <w:tcPr>
            <w:tcW w:w="13680" w:type="dxa"/>
            <w:gridSpan w:val="6"/>
            <w:vMerge w:val="continue"/>
            <w:tcBorders>
              <w:top w:val="nil"/>
              <w:left w:val="nil"/>
              <w:bottom w:val="single" w:color="auto" w:sz="4" w:space="0"/>
              <w:right w:val="nil"/>
            </w:tcBorders>
            <w:vAlign w:val="center"/>
          </w:tcPr>
          <w:p>
            <w:pPr>
              <w:widowControl/>
              <w:jc w:val="left"/>
              <w:rPr>
                <w:rFonts w:ascii="宋体" w:hAnsi="宋体" w:eastAsia="宋体" w:cs="宋体"/>
                <w:kern w:val="0"/>
                <w:sz w:val="40"/>
                <w:szCs w:val="40"/>
              </w:rPr>
            </w:pPr>
          </w:p>
        </w:tc>
      </w:tr>
      <w:tr>
        <w:tblPrEx>
          <w:tblCellMar>
            <w:top w:w="0" w:type="dxa"/>
            <w:left w:w="108" w:type="dxa"/>
            <w:bottom w:w="0" w:type="dxa"/>
            <w:right w:w="108" w:type="dxa"/>
          </w:tblCellMar>
        </w:tblPrEx>
        <w:trPr>
          <w:trHeight w:val="285"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序号</w:t>
            </w:r>
          </w:p>
        </w:tc>
        <w:tc>
          <w:tcPr>
            <w:tcW w:w="192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抽查事项名称</w:t>
            </w:r>
          </w:p>
        </w:tc>
        <w:tc>
          <w:tcPr>
            <w:tcW w:w="45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抽查内容</w:t>
            </w:r>
          </w:p>
        </w:tc>
        <w:tc>
          <w:tcPr>
            <w:tcW w:w="23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抽查数量</w:t>
            </w:r>
          </w:p>
        </w:tc>
        <w:tc>
          <w:tcPr>
            <w:tcW w:w="26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抽查结果</w:t>
            </w:r>
          </w:p>
        </w:tc>
        <w:tc>
          <w:tcPr>
            <w:tcW w:w="1721"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问题整改情况</w:t>
            </w:r>
          </w:p>
        </w:tc>
      </w:tr>
      <w:tr>
        <w:tblPrEx>
          <w:tblCellMar>
            <w:top w:w="0" w:type="dxa"/>
            <w:left w:w="108" w:type="dxa"/>
            <w:bottom w:w="0" w:type="dxa"/>
            <w:right w:w="108" w:type="dxa"/>
          </w:tblCellMar>
        </w:tblPrEx>
        <w:trPr>
          <w:trHeight w:val="171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船舶污染港区水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域作业监督检查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1、作业报告检查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2、船舶证书文书及记录检查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3、作业单位资质能力检查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4、设备检查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5、操作性检查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6、船舶污染物接收和处理情况检查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7、较高污染风险作业的作业方案检查</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1083艘次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lang w:val="en-US" w:eastAsia="zh-CN"/>
              </w:rPr>
              <w:t>发现缺陷57艘次</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要求立即改正，实施了行政处罚。</w:t>
            </w:r>
          </w:p>
        </w:tc>
      </w:tr>
      <w:tr>
        <w:tblPrEx>
          <w:tblCellMar>
            <w:top w:w="0" w:type="dxa"/>
            <w:left w:w="108" w:type="dxa"/>
            <w:bottom w:w="0" w:type="dxa"/>
            <w:right w:w="108" w:type="dxa"/>
          </w:tblCellMar>
        </w:tblPrEx>
        <w:trPr>
          <w:trHeight w:val="144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2</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船舶载运危险货物和污染危害性货物进出港口检查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1、载运固体散装危险货物的船舶的证书文书记录、装载情况、申报等情况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2、载运包装危险货物的船舶证书文书记录、装载情况、申报等情况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3、载运散装液体危险货物的船舶证书文书记录、装载情况、申报等情况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738艘次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53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3</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培训机构从事船员、引航员培训业务检查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1、教学计划的执行情况；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2、承担本期培训教学任务的教员情况和授课情况；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3、培训设施、设备、教材的使用、补充情况；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4、培训规模与师资配备要求的符合情况；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5、学员的出勤情况。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rPr>
            </w:pPr>
            <w:r>
              <w:rPr>
                <w:rFonts w:hint="eastAsia" w:ascii="宋体" w:hAnsi="宋体" w:eastAsia="宋体" w:cs="宋体"/>
                <w:kern w:val="0"/>
                <w:sz w:val="20"/>
                <w:szCs w:val="20"/>
                <w:lang w:val="en-US" w:eastAsia="zh-CN"/>
              </w:rPr>
              <w:t>167</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考抽查发现学院考勤方面存在问题</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要求考勤不合格的学员，取消考试资格</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4</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船舶污染物接收单位从事船舶垃圾、残油、含油污水、含有毒有害物质污水接收作业监督检查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2、安全与防污染管理制度检查。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3、作业方案、相关操作规程、防污染措施。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4、污染物处置记录情况。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6、是否按照规定向船舶出具污染物接收单证。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7、船舶污染物的接收和处理情况备案</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24次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发现</w:t>
            </w:r>
            <w:r>
              <w:rPr>
                <w:rFonts w:hint="eastAsia" w:ascii="宋体" w:hAnsi="宋体" w:eastAsia="宋体" w:cs="宋体"/>
                <w:kern w:val="0"/>
                <w:sz w:val="20"/>
                <w:szCs w:val="20"/>
              </w:rPr>
              <w:t>船舶</w:t>
            </w:r>
            <w:r>
              <w:rPr>
                <w:rFonts w:hint="eastAsia" w:ascii="宋体" w:hAnsi="宋体" w:eastAsia="宋体" w:cs="宋体"/>
                <w:kern w:val="0"/>
                <w:sz w:val="20"/>
                <w:szCs w:val="20"/>
                <w:lang w:eastAsia="zh-CN"/>
              </w:rPr>
              <w:t>污染物接收单位违法行为</w:t>
            </w:r>
            <w:r>
              <w:rPr>
                <w:rFonts w:hint="eastAsia" w:ascii="宋体" w:hAnsi="宋体" w:eastAsia="宋体" w:cs="宋体"/>
                <w:kern w:val="0"/>
                <w:sz w:val="20"/>
                <w:szCs w:val="20"/>
                <w:lang w:val="en-US" w:eastAsia="zh-CN"/>
              </w:rPr>
              <w:t>1起</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实施行政处罚</w:t>
            </w:r>
          </w:p>
        </w:tc>
      </w:tr>
      <w:tr>
        <w:tblPrEx>
          <w:tblCellMar>
            <w:top w:w="0" w:type="dxa"/>
            <w:left w:w="108" w:type="dxa"/>
            <w:bottom w:w="0" w:type="dxa"/>
            <w:right w:w="108" w:type="dxa"/>
          </w:tblCellMar>
        </w:tblPrEx>
        <w:trPr>
          <w:trHeight w:val="168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5</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通航水域岸线安全使用和水上水下活动检查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1、《水上水下活动许可证》                                              2、实际作业是否与《水上水下活动许可证》一致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3、作业前是否发布航行通（警）告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4、施工作业单位和作业人员是否遵守施工作业安全、施工水域通航安全及防污染等规定</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5、安全作业区警示标志、安全设施或者警戒船配备                                                6、活动完成后，碍航物清理情况。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rPr>
              <w:t>676次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eastAsia="zh-CN"/>
              </w:rPr>
              <w:t>发现</w:t>
            </w:r>
            <w:r>
              <w:rPr>
                <w:rFonts w:hint="eastAsia" w:ascii="宋体" w:hAnsi="宋体" w:eastAsia="宋体" w:cs="宋体"/>
                <w:kern w:val="0"/>
                <w:sz w:val="20"/>
                <w:szCs w:val="20"/>
              </w:rPr>
              <w:t>涉水工程违法行为</w:t>
            </w:r>
            <w:r>
              <w:rPr>
                <w:rFonts w:hint="eastAsia" w:ascii="宋体" w:hAnsi="宋体" w:eastAsia="宋体" w:cs="宋体"/>
                <w:kern w:val="0"/>
                <w:sz w:val="20"/>
                <w:szCs w:val="20"/>
                <w:lang w:val="en-US" w:eastAsia="zh-CN"/>
              </w:rPr>
              <w:t>38</w:t>
            </w:r>
            <w:r>
              <w:rPr>
                <w:rFonts w:hint="eastAsia" w:ascii="宋体" w:hAnsi="宋体" w:eastAsia="宋体" w:cs="宋体"/>
                <w:kern w:val="0"/>
                <w:sz w:val="20"/>
                <w:szCs w:val="20"/>
              </w:rPr>
              <w:t>起</w:t>
            </w:r>
            <w:r>
              <w:rPr>
                <w:rFonts w:hint="eastAsia" w:ascii="宋体" w:hAnsi="宋体" w:eastAsia="宋体" w:cs="宋体"/>
                <w:kern w:val="0"/>
                <w:sz w:val="20"/>
                <w:szCs w:val="20"/>
                <w:lang w:eastAsia="zh-CN"/>
              </w:rPr>
              <w:t>。</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rPr>
              <w:t>责令停工</w:t>
            </w:r>
            <w:r>
              <w:rPr>
                <w:rFonts w:hint="eastAsia" w:ascii="宋体" w:hAnsi="宋体" w:eastAsia="宋体" w:cs="宋体"/>
                <w:kern w:val="0"/>
                <w:sz w:val="20"/>
                <w:szCs w:val="20"/>
                <w:lang w:eastAsia="zh-CN"/>
              </w:rPr>
              <w:t>，并实施行政处罚</w:t>
            </w:r>
          </w:p>
        </w:tc>
      </w:tr>
      <w:tr>
        <w:tblPrEx>
          <w:tblCellMar>
            <w:top w:w="0" w:type="dxa"/>
            <w:left w:w="108" w:type="dxa"/>
            <w:bottom w:w="0" w:type="dxa"/>
            <w:right w:w="108" w:type="dxa"/>
          </w:tblCellMar>
        </w:tblPrEx>
        <w:trPr>
          <w:trHeight w:val="1233"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6</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大型设施、移动式平台、超限物体水上拖带活动检查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1、是否针对内河载运或拖带超限物体活动，向海事管理机构提出拖带申请；</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2、内河载运或者拖带超限物体，是否按照核定的航路、时间航行</w:t>
            </w:r>
          </w:p>
        </w:tc>
        <w:tc>
          <w:tcPr>
            <w:tcW w:w="232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6次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24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7</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从事内河船舶船员服务业务监督检查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1、核查内河船舶船员服务机构的企业法人营业执照、固定办公场所、人员资质是否与备案的信息一致；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2、核查船员服务质量管理制度、人员和资源保障制度、教育培训制度、应急处理制度和服务业务报告制度等内河船舶船员服务管理制度的记录和执行情况；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3、核查内河船舶船员服务机构的船员档案建立和管理情况，是否与定期报海事管理机构备案的信息一致。</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5次</w:t>
            </w:r>
          </w:p>
        </w:tc>
        <w:tc>
          <w:tcPr>
            <w:tcW w:w="2662" w:type="dxa"/>
            <w:tcBorders>
              <w:top w:val="nil"/>
              <w:left w:val="nil"/>
              <w:bottom w:val="single" w:color="auto" w:sz="4" w:space="0"/>
              <w:right w:val="single" w:color="auto" w:sz="4" w:space="0"/>
            </w:tcBorders>
            <w:shd w:val="clear" w:color="auto" w:fill="auto"/>
            <w:vAlign w:val="center"/>
          </w:tcPr>
          <w:p>
            <w:pPr>
              <w:widowControl/>
              <w:numPr>
                <w:ilvl w:val="0"/>
                <w:numId w:val="0"/>
              </w:numPr>
              <w:jc w:val="left"/>
              <w:rPr>
                <w:rFonts w:hint="default" w:ascii="宋体" w:hAnsi="宋体" w:eastAsia="宋体" w:cs="宋体"/>
                <w:kern w:val="0"/>
                <w:sz w:val="20"/>
                <w:szCs w:val="20"/>
                <w:lang w:val="en" w:eastAsia="zh-CN"/>
              </w:rPr>
            </w:pPr>
            <w:r>
              <w:rPr>
                <w:rFonts w:hint="eastAsia" w:ascii="宋体" w:hAnsi="宋体" w:eastAsia="宋体" w:cs="宋体"/>
                <w:kern w:val="0"/>
                <w:sz w:val="20"/>
                <w:szCs w:val="20"/>
                <w:lang w:val="en-US" w:eastAsia="zh-CN"/>
              </w:rPr>
              <w:t>1家服务机构</w:t>
            </w:r>
            <w:r>
              <w:rPr>
                <w:rFonts w:hint="eastAsia" w:ascii="宋体" w:hAnsi="宋体" w:eastAsia="宋体" w:cs="宋体"/>
                <w:kern w:val="0"/>
                <w:sz w:val="20"/>
                <w:szCs w:val="20"/>
                <w:lang w:eastAsia="zh-CN"/>
              </w:rPr>
              <w:t>存在劳动合同不完善，</w:t>
            </w:r>
            <w:r>
              <w:rPr>
                <w:rFonts w:hint="eastAsia" w:ascii="宋体" w:hAnsi="宋体" w:eastAsia="宋体" w:cs="宋体"/>
                <w:kern w:val="0"/>
                <w:sz w:val="20"/>
                <w:szCs w:val="20"/>
                <w:lang w:val="en" w:eastAsia="zh-CN"/>
              </w:rPr>
              <w:t>收费项目不完善，公司人员信息未及时报告和无年度报告的情形</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要求限期整改</w:t>
            </w:r>
          </w:p>
        </w:tc>
      </w:tr>
      <w:tr>
        <w:tblPrEx>
          <w:tblCellMar>
            <w:top w:w="0" w:type="dxa"/>
            <w:left w:w="108" w:type="dxa"/>
            <w:bottom w:w="0" w:type="dxa"/>
            <w:right w:w="108" w:type="dxa"/>
          </w:tblCellMar>
        </w:tblPrEx>
        <w:trPr>
          <w:trHeight w:val="144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8</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港口、码头、装卸站以及从事船舶修造、打捞、拆解等作业活动的单位防治船舶污染能力监督检查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1、是否按国家有关标准配备符合要求的污染监视设施，并处于良好状态。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2、是否配备与其装卸货物种类和吞吐能力相适应的船舶污染物接收设施，或是否有其他替代措施满足在港船舶的排放需求。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3、是否组织应急人员进行培训。</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546次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9</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船舶进出港口检查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1、中国籍国内航行船舶进出港报告的现场核查，是否报告，报告信息真实性、航行日志记录情况、AIS状态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2、国际航行船舶进出口岸的现场查验，进出口岸审批、申报、船舶及船员证书文书、缺陷纠正等情况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5729艘次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lang w:val="en-US" w:eastAsia="zh-CN"/>
              </w:rPr>
              <w:t>3艘船舶未按规定报告进出港信息</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实施行政处罚</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船舶安全检验证书核发检查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1、船舶、设施是否按照规定持有检验证书。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2、检验证书是否存在明显涂改的情况。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3、检验证书的展期或签署是否存在明显违反法规规定或者明显为越权签发的。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4、检验证书是否与船舶、设施的实际情况相符。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rPr>
            </w:pPr>
            <w:r>
              <w:rPr>
                <w:rFonts w:hint="eastAsia" w:ascii="宋体" w:hAnsi="宋体" w:eastAsia="宋体" w:cs="宋体"/>
                <w:kern w:val="0"/>
                <w:sz w:val="20"/>
                <w:szCs w:val="20"/>
                <w:lang w:val="en-US" w:eastAsia="zh-CN"/>
              </w:rPr>
              <w:t>4587</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r>
      <w:tr>
        <w:tblPrEx>
          <w:tblCellMar>
            <w:top w:w="0" w:type="dxa"/>
            <w:left w:w="108" w:type="dxa"/>
            <w:bottom w:w="0" w:type="dxa"/>
            <w:right w:w="108" w:type="dxa"/>
          </w:tblCellMar>
        </w:tblPrEx>
        <w:trPr>
          <w:trHeight w:val="96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11</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船舶国籍证书核发检查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1、船舶是否按照规定持有船舶国籍证书。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2、船舶国籍证书是否存在明显的伪造、涂改情况。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3、船舶国籍证书是否在有效期内。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4、船舶国籍证书是否与船舶的实际情况相符。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4594</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lang w:val="en-US"/>
              </w:rPr>
            </w:pPr>
            <w:r>
              <w:rPr>
                <w:rFonts w:hint="eastAsia" w:ascii="宋体" w:hAnsi="宋体" w:eastAsia="宋体" w:cs="宋体"/>
                <w:kern w:val="0"/>
                <w:sz w:val="20"/>
                <w:szCs w:val="20"/>
                <w:lang w:val="en-US" w:eastAsia="zh-CN"/>
              </w:rPr>
              <w:t>4艘船舶国籍证书过期</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eastAsia="zh-CN"/>
              </w:rPr>
              <w:t>实施行政处罚</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12</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船舶所有人、经营人或者管理人防治船舶及其有关作业活动污染内河环境应急预案检查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br w:type="textWrapping"/>
            </w:r>
            <w:r>
              <w:rPr>
                <w:rFonts w:hint="eastAsia" w:ascii="宋体" w:hAnsi="宋体" w:eastAsia="宋体" w:cs="宋体"/>
                <w:kern w:val="0"/>
                <w:sz w:val="20"/>
                <w:szCs w:val="20"/>
              </w:rPr>
              <w:t>船舶所有人、经营人或者管理人防治船舶及其有关作业活动污染海洋环境应急预案内容与船舶实际情况是否相符；是否按照预案要求开展演习和培训，并如实记录相关情况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350艘次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13</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船舶油污损害民事责任保险证书或者财务保证证书核发检查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船舶是否按要求持有《油污损害民事责任保险或其他财务保证证书》《非持久性油类污染损害民事责任保险或其他财务保证证书》或《燃油污染损害民事责任保险或其他财务保证证书》，证书是否在有效期内</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101艘次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44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14</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危险化学品水路运输人员资质检查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1、水路运输企业是否按照规定将申报员、检查员信息报送所在地海事管理机构；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2、申报员、检查员是否按照规定申请取得从业资格证书，申报的信息是否与实际相符；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3、申报员、检查员是否违规使用或者涂改资格证书。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545艘次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15</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船舶电台执照核发检查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1、船舶是否按照规定持有船舶电台执照。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2、船舶电台执照是否存在伪造、涂改情况。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3、船舶电台执照是否在有效期内。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4、船舶电台执照所载明事项是否与船舶的实际情况相符。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3563艘次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2艘船舶未办理无线电台执照</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实施了行政处罚</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16</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海上移动通信业务标识码证书（船舶自动识别系统AIS标识码证书）核发检查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一、船舶是否按照规定持有标识码证书。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二、标识码证书是否存在伪造、涂改情况。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三、标识码证书是否在有效期内。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四、标识码证书所载明事项是否与船舶的实际情况相符。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3904艘次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发现缺陷69艘次</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责令立即改正，并实施行政处罚，</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17</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水上无线电通信秩序监督检查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1、船舶通信设备是否按照规定保持正常工作状态。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2、船舶通信设备是否按照规定输入准确信息。</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3、是否存在占用遇险和安全通信频率进行有害发射的情况。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4、船舶通信设备是否符合技术规范要求。</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rPr>
              <w:t>5330艘次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rPr>
              <w:t>发现缺陷88艘次</w:t>
            </w:r>
            <w:bookmarkStart w:id="0" w:name="_GoBack"/>
            <w:bookmarkEnd w:id="0"/>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eastAsia="zh-CN"/>
              </w:rPr>
              <w:t>责令立即改正，约谈航运公司，并实施了</w:t>
            </w:r>
            <w:r>
              <w:rPr>
                <w:rFonts w:hint="eastAsia" w:ascii="宋体" w:hAnsi="宋体" w:eastAsia="宋体" w:cs="宋体"/>
                <w:kern w:val="0"/>
                <w:sz w:val="20"/>
                <w:szCs w:val="20"/>
              </w:rPr>
              <w:t>行政处罚</w:t>
            </w:r>
            <w:r>
              <w:rPr>
                <w:rFonts w:hint="eastAsia" w:ascii="宋体" w:hAnsi="宋体" w:eastAsia="宋体" w:cs="宋体"/>
                <w:kern w:val="0"/>
                <w:sz w:val="20"/>
                <w:szCs w:val="20"/>
                <w:lang w:eastAsia="zh-CN"/>
              </w:rPr>
              <w:t>。</w:t>
            </w:r>
          </w:p>
        </w:tc>
      </w:tr>
    </w:tbl>
    <w:p>
      <w:pPr>
        <w:rPr>
          <w:rFonts w:hint="eastAsia" w:eastAsiaTheme="minorEastAsia"/>
          <w:lang w:val="en-US" w:eastAsia="zh-CN"/>
        </w:rPr>
      </w:pPr>
      <w:r>
        <w:rPr>
          <w:rFonts w:hint="eastAsia"/>
          <w:lang w:eastAsia="zh-CN"/>
        </w:rPr>
        <w:t>填报单位：广西海事局</w:t>
      </w:r>
      <w:r>
        <w:rPr>
          <w:rFonts w:hint="eastAsia"/>
          <w:lang w:val="en-US" w:eastAsia="zh-CN"/>
        </w:rPr>
        <w:t xml:space="preserve">                         填报人：梁晶晶                                联系电话： 0771-5532917             </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979"/>
    <w:rsid w:val="0075371F"/>
    <w:rsid w:val="00877979"/>
    <w:rsid w:val="008868EC"/>
    <w:rsid w:val="00A86E55"/>
    <w:rsid w:val="00B41A6C"/>
    <w:rsid w:val="00FA55B2"/>
    <w:rsid w:val="0BA86649"/>
    <w:rsid w:val="0F067723"/>
    <w:rsid w:val="11821A0D"/>
    <w:rsid w:val="19B1522A"/>
    <w:rsid w:val="1E1031E0"/>
    <w:rsid w:val="1F8F4EBA"/>
    <w:rsid w:val="24952527"/>
    <w:rsid w:val="27321635"/>
    <w:rsid w:val="377D28E1"/>
    <w:rsid w:val="435948F6"/>
    <w:rsid w:val="445B1EBD"/>
    <w:rsid w:val="4BFE5249"/>
    <w:rsid w:val="4FE75EC3"/>
    <w:rsid w:val="5FF50F66"/>
    <w:rsid w:val="6BF72BF7"/>
    <w:rsid w:val="72693E13"/>
    <w:rsid w:val="73FF9A36"/>
    <w:rsid w:val="7E497F83"/>
    <w:rsid w:val="7F8FDB20"/>
    <w:rsid w:val="B7D7B5C0"/>
    <w:rsid w:val="BFF6E500"/>
    <w:rsid w:val="DBFD599E"/>
    <w:rsid w:val="EF3F1631"/>
    <w:rsid w:val="FFBFF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392</Words>
  <Characters>2237</Characters>
  <Lines>18</Lines>
  <Paragraphs>5</Paragraphs>
  <TotalTime>6</TotalTime>
  <ScaleCrop>false</ScaleCrop>
  <LinksUpToDate>false</LinksUpToDate>
  <CharactersWithSpaces>2624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2019-11-08T15:20:00Z</dcterms:created>
  <dc:creator>DC</dc:creator>
  <cp:lastModifiedBy>kylin</cp:lastModifiedBy>
  <dcterms:modified xsi:type="dcterms:W3CDTF">2022-04-02T12:23:53Z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