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680" w:type="dxa"/>
        <w:tblInd w:w="93" w:type="dxa"/>
        <w:tblLayout w:type="fixed"/>
        <w:tblCellMar>
          <w:top w:w="0" w:type="dxa"/>
          <w:left w:w="108" w:type="dxa"/>
          <w:bottom w:w="0" w:type="dxa"/>
          <w:right w:w="108" w:type="dxa"/>
        </w:tblCellMar>
      </w:tblPr>
      <w:tblGrid>
        <w:gridCol w:w="511"/>
        <w:gridCol w:w="1921"/>
        <w:gridCol w:w="4543"/>
        <w:gridCol w:w="2322"/>
        <w:gridCol w:w="2662"/>
        <w:gridCol w:w="1721"/>
      </w:tblGrid>
      <w:tr>
        <w:tblPrEx>
          <w:tblCellMar>
            <w:top w:w="0" w:type="dxa"/>
            <w:left w:w="108" w:type="dxa"/>
            <w:bottom w:w="0" w:type="dxa"/>
            <w:right w:w="108" w:type="dxa"/>
          </w:tblCellMar>
        </w:tblPrEx>
        <w:trPr>
          <w:trHeight w:val="624" w:hRule="atLeast"/>
        </w:trPr>
        <w:tc>
          <w:tcPr>
            <w:tcW w:w="13680" w:type="dxa"/>
            <w:gridSpan w:val="6"/>
            <w:vMerge w:val="restart"/>
            <w:tcBorders>
              <w:top w:val="nil"/>
              <w:left w:val="nil"/>
              <w:bottom w:val="nil"/>
              <w:right w:val="nil"/>
            </w:tcBorders>
            <w:shd w:val="clear" w:color="auto" w:fill="auto"/>
            <w:vAlign w:val="bottom"/>
          </w:tcPr>
          <w:p>
            <w:pPr>
              <w:widowControl/>
              <w:jc w:val="center"/>
              <w:rPr>
                <w:rFonts w:hint="default" w:ascii="宋体" w:hAnsi="宋体" w:eastAsia="宋体" w:cs="宋体"/>
                <w:kern w:val="0"/>
                <w:sz w:val="40"/>
                <w:szCs w:val="40"/>
                <w:lang w:val="en"/>
              </w:rPr>
            </w:pPr>
            <w:r>
              <w:rPr>
                <w:rFonts w:hint="eastAsia" w:ascii="宋体" w:hAnsi="宋体" w:eastAsia="宋体" w:cs="宋体"/>
                <w:kern w:val="0"/>
                <w:sz w:val="40"/>
                <w:szCs w:val="40"/>
              </w:rPr>
              <w:br w:type="textWrapping"/>
            </w:r>
            <w:r>
              <w:rPr>
                <w:rFonts w:hint="eastAsia" w:ascii="宋体" w:hAnsi="宋体" w:eastAsia="宋体" w:cs="宋体"/>
                <w:kern w:val="0"/>
                <w:sz w:val="40"/>
                <w:szCs w:val="40"/>
                <w:lang w:eastAsia="zh-CN"/>
              </w:rPr>
              <w:t>广西</w:t>
            </w:r>
            <w:r>
              <w:rPr>
                <w:rFonts w:hint="eastAsia" w:ascii="宋体" w:hAnsi="宋体" w:eastAsia="宋体" w:cs="宋体"/>
                <w:kern w:val="0"/>
                <w:sz w:val="40"/>
                <w:szCs w:val="40"/>
              </w:rPr>
              <w:t>海事局20</w:t>
            </w:r>
            <w:r>
              <w:rPr>
                <w:rFonts w:hint="eastAsia" w:ascii="宋体" w:hAnsi="宋体" w:eastAsia="宋体" w:cs="宋体"/>
                <w:kern w:val="0"/>
                <w:sz w:val="40"/>
                <w:szCs w:val="40"/>
                <w:lang w:val="en-US" w:eastAsia="zh-CN"/>
              </w:rPr>
              <w:t>22</w:t>
            </w:r>
            <w:r>
              <w:rPr>
                <w:rFonts w:hint="eastAsia" w:ascii="宋体" w:hAnsi="宋体" w:eastAsia="宋体" w:cs="宋体"/>
                <w:kern w:val="0"/>
                <w:sz w:val="40"/>
                <w:szCs w:val="40"/>
              </w:rPr>
              <w:t>年双随机检查结果公示</w:t>
            </w:r>
          </w:p>
        </w:tc>
      </w:tr>
      <w:tr>
        <w:tblPrEx>
          <w:tblCellMar>
            <w:top w:w="0" w:type="dxa"/>
            <w:left w:w="108" w:type="dxa"/>
            <w:bottom w:w="0" w:type="dxa"/>
            <w:right w:w="108" w:type="dxa"/>
          </w:tblCellMar>
        </w:tblPrEx>
        <w:trPr>
          <w:trHeight w:val="645" w:hRule="atLeast"/>
        </w:trPr>
        <w:tc>
          <w:tcPr>
            <w:tcW w:w="13680" w:type="dxa"/>
            <w:gridSpan w:val="6"/>
            <w:vMerge w:val="continue"/>
            <w:tcBorders>
              <w:top w:val="nil"/>
              <w:left w:val="nil"/>
              <w:bottom w:val="single" w:color="auto" w:sz="4" w:space="0"/>
              <w:right w:val="nil"/>
            </w:tcBorders>
            <w:vAlign w:val="center"/>
          </w:tcPr>
          <w:p>
            <w:pPr>
              <w:widowControl/>
              <w:jc w:val="left"/>
              <w:rPr>
                <w:rFonts w:ascii="宋体" w:hAnsi="宋体" w:eastAsia="宋体" w:cs="宋体"/>
                <w:kern w:val="0"/>
                <w:sz w:val="40"/>
                <w:szCs w:val="40"/>
              </w:rPr>
            </w:pPr>
          </w:p>
        </w:tc>
      </w:tr>
      <w:tr>
        <w:tblPrEx>
          <w:tblCellMar>
            <w:top w:w="0" w:type="dxa"/>
            <w:left w:w="108" w:type="dxa"/>
            <w:bottom w:w="0" w:type="dxa"/>
            <w:right w:w="108" w:type="dxa"/>
          </w:tblCellMar>
        </w:tblPrEx>
        <w:trPr>
          <w:trHeight w:val="285"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序号</w:t>
            </w:r>
          </w:p>
        </w:tc>
        <w:tc>
          <w:tcPr>
            <w:tcW w:w="192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抽查事项名称</w:t>
            </w:r>
          </w:p>
        </w:tc>
        <w:tc>
          <w:tcPr>
            <w:tcW w:w="45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抽查内容</w:t>
            </w:r>
          </w:p>
        </w:tc>
        <w:tc>
          <w:tcPr>
            <w:tcW w:w="23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抽查数量</w:t>
            </w:r>
          </w:p>
        </w:tc>
        <w:tc>
          <w:tcPr>
            <w:tcW w:w="26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抽查结果</w:t>
            </w:r>
          </w:p>
        </w:tc>
        <w:tc>
          <w:tcPr>
            <w:tcW w:w="1721"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问题整改情况</w:t>
            </w:r>
          </w:p>
        </w:tc>
      </w:tr>
      <w:tr>
        <w:tblPrEx>
          <w:tblCellMar>
            <w:top w:w="0" w:type="dxa"/>
            <w:left w:w="108" w:type="dxa"/>
            <w:bottom w:w="0" w:type="dxa"/>
            <w:right w:w="108" w:type="dxa"/>
          </w:tblCellMar>
        </w:tblPrEx>
        <w:trPr>
          <w:trHeight w:val="171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船舶污染港区水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域作业监督检查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1、作业报告检查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2、船舶证书文书及记录检查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3、作业单位资质能力检查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4、设备检查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5、操作性检查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6、船舶污染物接收和处理情况检查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7、较高污染风险作业的作业方案检查</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1920艘次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eastAsia="zh-CN"/>
              </w:rPr>
              <w:t>发现缺陷</w:t>
            </w:r>
            <w:r>
              <w:rPr>
                <w:rFonts w:hint="eastAsia" w:ascii="宋体" w:hAnsi="宋体" w:eastAsia="宋体" w:cs="宋体"/>
                <w:kern w:val="0"/>
                <w:sz w:val="20"/>
                <w:szCs w:val="20"/>
                <w:lang w:val="en-US" w:eastAsia="zh-CN"/>
              </w:rPr>
              <w:t>21个，发现2起违法行为</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要求立即整改，对违法行为实施行政处罚实施行政处罚</w:t>
            </w:r>
          </w:p>
        </w:tc>
      </w:tr>
      <w:tr>
        <w:tblPrEx>
          <w:tblCellMar>
            <w:top w:w="0" w:type="dxa"/>
            <w:left w:w="108" w:type="dxa"/>
            <w:bottom w:w="0" w:type="dxa"/>
            <w:right w:w="108" w:type="dxa"/>
          </w:tblCellMar>
        </w:tblPrEx>
        <w:trPr>
          <w:trHeight w:val="144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2</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船舶载运危险货物和污染危害性货物进出港口检查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1、载运固体散装危险货物的船舶的证书文书记录、装载情况、申报等情况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2、载运包装危险货物的船舶证书文书记录、装载情况、申报等情况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3、载运散装液体危险货物的船舶证书文书记录、装载情况、申报等情况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885艘次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发现违法行为3起</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实施行政处罚</w:t>
            </w:r>
          </w:p>
        </w:tc>
      </w:tr>
      <w:tr>
        <w:tblPrEx>
          <w:tblCellMar>
            <w:top w:w="0" w:type="dxa"/>
            <w:left w:w="108" w:type="dxa"/>
            <w:bottom w:w="0" w:type="dxa"/>
            <w:right w:w="108" w:type="dxa"/>
          </w:tblCellMar>
        </w:tblPrEx>
        <w:trPr>
          <w:trHeight w:val="153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3</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培训机构从事船员、引航员培训业务检查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1、教学计划的执行情况；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2、承担本期培训教学任务的教员情况和授课情况；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3、培训设施、设备、教材的使用、补充情况；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4、培训规模与师资配备要求的符合情况；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5、学员的出勤情况。</w:t>
            </w:r>
          </w:p>
        </w:tc>
        <w:tc>
          <w:tcPr>
            <w:tcW w:w="2322" w:type="dxa"/>
            <w:tcBorders>
              <w:top w:val="nil"/>
              <w:left w:val="nil"/>
              <w:bottom w:val="single" w:color="auto" w:sz="4" w:space="0"/>
              <w:right w:val="single" w:color="auto" w:sz="4" w:space="0"/>
            </w:tcBorders>
            <w:shd w:val="clear" w:color="auto" w:fill="auto"/>
            <w:vAlign w:val="center"/>
          </w:tcPr>
          <w:p>
            <w:pPr>
              <w:widowControl/>
              <w:jc w:val="both"/>
              <w:rPr>
                <w:rFonts w:hint="default"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rPr>
              <w:t>86次</w:t>
            </w:r>
          </w:p>
        </w:tc>
        <w:tc>
          <w:tcPr>
            <w:tcW w:w="2662" w:type="dxa"/>
            <w:tcBorders>
              <w:top w:val="nil"/>
              <w:left w:val="nil"/>
              <w:bottom w:val="single" w:color="auto" w:sz="4" w:space="0"/>
              <w:right w:val="single" w:color="auto" w:sz="4" w:space="0"/>
            </w:tcBorders>
            <w:shd w:val="clear" w:color="auto" w:fill="auto"/>
            <w:vAlign w:val="center"/>
          </w:tcPr>
          <w:p>
            <w:pPr>
              <w:widowControl/>
              <w:numPr>
                <w:ilvl w:val="0"/>
                <w:numId w:val="0"/>
              </w:numPr>
              <w:jc w:val="left"/>
              <w:rPr>
                <w:rFonts w:hint="eastAsia" w:ascii="宋体" w:hAnsi="宋体" w:eastAsia="宋体" w:cs="宋体"/>
                <w:color w:val="auto"/>
                <w:kern w:val="0"/>
                <w:sz w:val="20"/>
                <w:szCs w:val="20"/>
                <w:lang w:val="en-US" w:eastAsia="zh-CN" w:bidi="ar-SA"/>
              </w:rPr>
            </w:pPr>
            <w:r>
              <w:rPr>
                <w:rFonts w:hint="eastAsia" w:ascii="宋体" w:hAnsi="宋体" w:eastAsia="宋体" w:cs="宋体"/>
                <w:kern w:val="0"/>
                <w:sz w:val="20"/>
                <w:szCs w:val="20"/>
              </w:rPr>
              <w:t>发现缺陷</w:t>
            </w:r>
            <w:r>
              <w:rPr>
                <w:rFonts w:hint="eastAsia" w:ascii="宋体" w:hAnsi="宋体" w:eastAsia="宋体" w:cs="宋体"/>
                <w:kern w:val="0"/>
                <w:sz w:val="20"/>
                <w:szCs w:val="20"/>
                <w:lang w:val="en-US" w:eastAsia="zh-CN"/>
              </w:rPr>
              <w:t>30</w:t>
            </w:r>
            <w:r>
              <w:rPr>
                <w:rFonts w:hint="eastAsia" w:ascii="宋体" w:hAnsi="宋体" w:eastAsia="宋体" w:cs="宋体"/>
                <w:kern w:val="0"/>
                <w:sz w:val="20"/>
                <w:szCs w:val="20"/>
              </w:rPr>
              <w:t>个，主要表现在学校未按开班报备表上的课程上课，且老师随意调换课程；部分教学设备更新不及时；学员缺勤等等。</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rPr>
              <w:t>已经按要求责令整改，补充易耗品，更新设备</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4</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船舶污染物接收单位从事船舶垃圾、残油、含油污水、含有毒有害物质污水接收作业监督检查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2、安全与防污染管理制度检查。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3、作业方案、相关操作规程、防污染措施。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4、污染物处置记录情况。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6、是否按照规定向船舶出具污染物接收单证。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7、船舶污染物的接收和处理情况备案</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276次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码头作业区处置记录不全面，标识不清晰。</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立即改正</w:t>
            </w:r>
          </w:p>
        </w:tc>
      </w:tr>
      <w:tr>
        <w:tblPrEx>
          <w:tblCellMar>
            <w:top w:w="0" w:type="dxa"/>
            <w:left w:w="108" w:type="dxa"/>
            <w:bottom w:w="0" w:type="dxa"/>
            <w:right w:w="108" w:type="dxa"/>
          </w:tblCellMar>
        </w:tblPrEx>
        <w:trPr>
          <w:trHeight w:val="168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5</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通航水域岸线安全使用和水上水下活动检查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1、《水上水下活动许可证》                                              2、实际作业是否与《水上水下活动许可证》一致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3、作业前是否发布航行通（警）告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4、施工作业单位和作业人员是否遵守施工作业安全、施工水域通航安全及防污染等规定</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5、安全作业区警示标志、安全设施或者警戒船配备                                                6、活动完成后，碍航物清理情况。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245次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发现问题54项</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rPr>
              <w:t>立即整改纠正</w:t>
            </w:r>
          </w:p>
        </w:tc>
      </w:tr>
      <w:tr>
        <w:tblPrEx>
          <w:tblCellMar>
            <w:top w:w="0" w:type="dxa"/>
            <w:left w:w="108" w:type="dxa"/>
            <w:bottom w:w="0" w:type="dxa"/>
            <w:right w:w="108" w:type="dxa"/>
          </w:tblCellMar>
        </w:tblPrEx>
        <w:trPr>
          <w:trHeight w:val="96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6</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大型设施、移动式平台、超限物体水上拖带活动检查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1、是否针对内河载运或拖带超限物体活动，向海事管理机构提出拖带申请；</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2、内河载运或者拖带超限物体，是否按照核定的航路、时间航行</w:t>
            </w:r>
          </w:p>
        </w:tc>
        <w:tc>
          <w:tcPr>
            <w:tcW w:w="2322" w:type="dxa"/>
            <w:tcBorders>
              <w:top w:val="nil"/>
              <w:left w:val="nil"/>
              <w:bottom w:val="single" w:color="auto" w:sz="4" w:space="0"/>
              <w:right w:val="single" w:color="auto" w:sz="4" w:space="0"/>
            </w:tcBorders>
            <w:shd w:val="clear" w:color="auto" w:fill="auto"/>
            <w:vAlign w:val="center"/>
          </w:tcPr>
          <w:p>
            <w:pPr>
              <w:widowControl/>
              <w:jc w:val="both"/>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13次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24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7</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从事内河船舶船员服务业务监督检查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1、核查内河船舶船员服务机构的企业法人营业执照、固定办公场所、人员资质是否与备案的信息一致；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2、核查船员服务质量管理制度、人员和资源保障制度、教育培训制度、应急处理制度和服务业务报告制度等内河船舶船员服务管理制度的记录和执行情况；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3、核查内河船舶船员服务机构的船员档案建立和管理情况，是否与定期报海事管理机构备案的信息一致。</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8</w:t>
            </w:r>
          </w:p>
        </w:tc>
        <w:tc>
          <w:tcPr>
            <w:tcW w:w="2662" w:type="dxa"/>
            <w:tcBorders>
              <w:top w:val="nil"/>
              <w:left w:val="nil"/>
              <w:bottom w:val="single" w:color="auto" w:sz="4" w:space="0"/>
              <w:right w:val="single" w:color="auto" w:sz="4" w:space="0"/>
            </w:tcBorders>
            <w:shd w:val="clear" w:color="auto" w:fill="auto"/>
            <w:vAlign w:val="center"/>
          </w:tcPr>
          <w:p>
            <w:pPr>
              <w:widowControl/>
              <w:numPr>
                <w:ilvl w:val="0"/>
                <w:numId w:val="0"/>
              </w:numPr>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发现问题8项</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责令立即整改</w:t>
            </w:r>
          </w:p>
        </w:tc>
      </w:tr>
      <w:tr>
        <w:tblPrEx>
          <w:tblCellMar>
            <w:top w:w="0" w:type="dxa"/>
            <w:left w:w="108" w:type="dxa"/>
            <w:bottom w:w="0" w:type="dxa"/>
            <w:right w:w="108" w:type="dxa"/>
          </w:tblCellMar>
        </w:tblPrEx>
        <w:trPr>
          <w:trHeight w:val="144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8</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港口、码头、装卸站以及从事船舶修造、打捞、拆解等作业活动的单位防治船舶污染能力监督检查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1、是否按国家有关标准配备符合要求的污染监视设施，并处于良好状态。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2、是否配备与其装卸货物种类和吞吐能力相适应的船舶污染物接收设施，或是否有其他替代措施满足在港船舶的排放需求。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3、是否组织应急人员进行培训。</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27</w:t>
            </w:r>
            <w:bookmarkStart w:id="0" w:name="_GoBack"/>
            <w:bookmarkEnd w:id="0"/>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发现问题2项，主要是存在接收设施标识不清晰。</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已责令整改</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9</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船舶进出港口检查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1、中国籍国内航行船舶进出港报告的现场核查，是否报告，报告信息真实性、航行日志记录情况、AIS状态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2、国际航行船舶进出口岸的现场查验，进出口岸审批、申报、船舶及船员证书文书、缺陷纠正等情况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4344艘次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发现74艘船舶未按规定向海事管理机构报告、</w:t>
            </w:r>
            <w:r>
              <w:rPr>
                <w:rFonts w:hint="eastAsia" w:ascii="宋体" w:hAnsi="宋体" w:eastAsia="宋体" w:cs="宋体"/>
                <w:kern w:val="0"/>
                <w:sz w:val="20"/>
                <w:szCs w:val="20"/>
                <w:lang w:val="en-US" w:eastAsia="zh-CN"/>
              </w:rPr>
              <w:t>未在航行日志上记载</w:t>
            </w:r>
            <w:r>
              <w:rPr>
                <w:rFonts w:hint="eastAsia" w:ascii="宋体" w:hAnsi="宋体" w:eastAsia="宋体" w:cs="宋体"/>
                <w:kern w:val="0"/>
                <w:sz w:val="20"/>
                <w:szCs w:val="20"/>
                <w:lang w:val="en-US" w:eastAsia="zh-CN" w:bidi="ar-SA"/>
              </w:rPr>
              <w:t>的情形</w:t>
            </w:r>
            <w:r>
              <w:rPr>
                <w:rFonts w:hint="eastAsia" w:ascii="宋体" w:hAnsi="宋体" w:eastAsia="宋体" w:cs="宋体"/>
                <w:kern w:val="0"/>
                <w:sz w:val="20"/>
                <w:szCs w:val="20"/>
                <w:lang w:val="en-US" w:eastAsia="zh-CN"/>
              </w:rPr>
              <w:t>。</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对违法行为实施行政处罚，并责令现场立即整改</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船舶安全检验证书核发检查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1、船舶、设施是否按照规定持有检验证书。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2、检验证书是否存在明显涂改的情况。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3、检验证书的展期或签署是否存在明显违反法规规定或者明显为越权签发的。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4、检验证书是否与船舶、设施的实际情况相符。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1385艘次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0"/>
                <w:szCs w:val="20"/>
                <w:lang w:val="en-US" w:eastAsia="zh-CN" w:bidi="ar-SA"/>
                <w14:textFill>
                  <w14:solidFill>
                    <w14:schemeClr w14:val="tx1"/>
                  </w14:solidFill>
                </w14:textFill>
              </w:rPr>
            </w:pPr>
            <w:r>
              <w:rPr>
                <w:rFonts w:hint="eastAsia" w:ascii="宋体" w:hAnsi="宋体" w:eastAsia="宋体" w:cs="宋体"/>
                <w:color w:val="000000" w:themeColor="text1"/>
                <w:kern w:val="0"/>
                <w:sz w:val="20"/>
                <w:szCs w:val="20"/>
                <w:lang w:val="en-US" w:eastAsia="zh-CN" w:bidi="ar-SA"/>
                <w14:textFill>
                  <w14:solidFill>
                    <w14:schemeClr w14:val="tx1"/>
                  </w14:solidFill>
                </w14:textFill>
              </w:rPr>
              <w:t>发现问题13项</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0"/>
                <w:szCs w:val="20"/>
                <w:lang w:val="en-US" w:eastAsia="zh-CN" w:bidi="ar-SA"/>
                <w14:textFill>
                  <w14:solidFill>
                    <w14:schemeClr w14:val="tx1"/>
                  </w14:solidFill>
                </w14:textFill>
              </w:rPr>
            </w:pPr>
            <w:r>
              <w:rPr>
                <w:rFonts w:hint="eastAsia" w:ascii="宋体" w:hAnsi="宋体" w:eastAsia="宋体" w:cs="宋体"/>
                <w:color w:val="000000" w:themeColor="text1"/>
                <w:kern w:val="0"/>
                <w:sz w:val="20"/>
                <w:szCs w:val="20"/>
                <w:lang w:val="en-US" w:eastAsia="zh-CN" w:bidi="ar-SA"/>
                <w14:textFill>
                  <w14:solidFill>
                    <w14:schemeClr w14:val="tx1"/>
                  </w14:solidFill>
                </w14:textFill>
              </w:rPr>
              <w:t>责令停航，实施行政处罚，已完成整改</w:t>
            </w:r>
          </w:p>
        </w:tc>
      </w:tr>
      <w:tr>
        <w:tblPrEx>
          <w:tblCellMar>
            <w:top w:w="0" w:type="dxa"/>
            <w:left w:w="108" w:type="dxa"/>
            <w:bottom w:w="0" w:type="dxa"/>
            <w:right w:w="108" w:type="dxa"/>
          </w:tblCellMar>
        </w:tblPrEx>
        <w:trPr>
          <w:trHeight w:val="96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11</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船舶国籍证书核发检查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1、船舶是否按照规定持有船舶国籍证书。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2、船舶国籍证书是否存在明显的伪造、涂改情况。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3、船舶国籍证书是否在有效期内。</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4、船舶国籍证书是否与船舶的实际情况相符。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1868艘次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发现问题：6项</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责令停航停止作业，立即申请换证</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12</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船舶所有人、经营人或者管理人防治船舶及其有关作业活动污染内河环境应急预案检查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br w:type="textWrapping"/>
            </w:r>
            <w:r>
              <w:rPr>
                <w:rFonts w:hint="eastAsia" w:ascii="宋体" w:hAnsi="宋体" w:eastAsia="宋体" w:cs="宋体"/>
                <w:kern w:val="0"/>
                <w:sz w:val="20"/>
                <w:szCs w:val="20"/>
              </w:rPr>
              <w:t>船舶所有人、经营人或者管理人防治船舶及其有关作业活动污染海洋环境应急预案内容与船舶实际情况是否相符；是否按照预案要求开展演习和培训，并如实记录相关情况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197次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ascii="宋体" w:hAnsi="宋体" w:eastAsia="宋体" w:cs="宋体"/>
                <w:kern w:val="0"/>
                <w:sz w:val="20"/>
                <w:szCs w:val="20"/>
              </w:rPr>
              <w:t>未制定应急预案并开展演习和训练。</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要求立即改正</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13</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船舶油污损害民事责任保险证书或者财务保证证书核发检查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船舶是否按要求持有《油污损害民事责任保险或其他财务保证证书》《非持久性油类污染损害民事责任保险或其他财务保证证书》或《燃油污染损害民事责任保险或其他财务保证证书》，证书是否在有效期内</w:t>
            </w:r>
          </w:p>
        </w:tc>
        <w:tc>
          <w:tcPr>
            <w:tcW w:w="2322" w:type="dxa"/>
            <w:tcBorders>
              <w:top w:val="nil"/>
              <w:left w:val="nil"/>
              <w:bottom w:val="single" w:color="auto" w:sz="4" w:space="0"/>
              <w:right w:val="single" w:color="auto" w:sz="4" w:space="0"/>
            </w:tcBorders>
            <w:shd w:val="clear" w:color="auto" w:fill="auto"/>
            <w:vAlign w:val="center"/>
          </w:tcPr>
          <w:p>
            <w:pPr>
              <w:widowControl/>
              <w:jc w:val="both"/>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85艘次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144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14</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危险化学品水路运输人员资质检查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1、水路运输企业是否按照规定将申报员、检查员信息报送所在地海事管理机构；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2、申报员、检查员是否按照规定申请取得从业资格证书，申报的信息是否与实际相符；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3、申报员、检查员是否违规使用或者涂改资格证书。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80艘次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15</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船舶电台执照核发检查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1、船舶是否按照规定持有船舶电台执照。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2、船舶电台执照是否存在伪造、涂改情况。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3、船舶电台执照是否在有效期内。</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4、船舶电台执照所载明事项是否与船舶的实际情况相符。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1533艘次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16</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海上移动通信业务标识码证书（船舶自动识别系统AIS标识码证书）核发检查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一、船舶是否按照规定持有标识码证书。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二、标识码证书是否存在伪造、涂改情况。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三、标识码证书是否在有效期内。</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四、标识码证书所载明事项是否与船舶的实际情况相符。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1489艘次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17</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水上无线电通信秩序监督检查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1、船舶通信设备是否按照规定保持正常工作状态。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2、船舶通信设备是否按照规定输入准确信息。</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3、是否存在占用遇险和安全通信频率进行有害发射的情况。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4、船舶通信设备是否符合技术规范要求。</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1832艘次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rPr>
              <w:t>查处发现问题39起</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eastAsia="zh-CN"/>
              </w:rPr>
              <w:t>责令立即改正，并实施</w:t>
            </w:r>
            <w:r>
              <w:rPr>
                <w:rFonts w:hint="eastAsia" w:ascii="宋体" w:hAnsi="宋体" w:eastAsia="宋体" w:cs="宋体"/>
                <w:kern w:val="0"/>
                <w:sz w:val="20"/>
                <w:szCs w:val="20"/>
              </w:rPr>
              <w:t>行政处罚</w:t>
            </w:r>
          </w:p>
        </w:tc>
      </w:tr>
    </w:tbl>
    <w:p>
      <w:pPr>
        <w:rPr>
          <w:rFonts w:hint="default" w:eastAsiaTheme="minorEastAsia"/>
          <w:lang w:val="en-US" w:eastAsia="zh-CN"/>
        </w:rPr>
      </w:pPr>
      <w:r>
        <w:rPr>
          <w:rFonts w:hint="eastAsia"/>
          <w:lang w:eastAsia="zh-CN"/>
        </w:rPr>
        <w:t>填报单位：广西海事局</w:t>
      </w:r>
      <w:r>
        <w:rPr>
          <w:rFonts w:hint="eastAsia"/>
          <w:lang w:val="en-US" w:eastAsia="zh-CN"/>
        </w:rPr>
        <w:t xml:space="preserve">                      填报人：梁晶晶                             联系电话：0771-5532917</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jMzRlNDZmMzQ4MGE0N2E5ODdkN2Q1Y2Y2MjY1NTAifQ=="/>
  </w:docVars>
  <w:rsids>
    <w:rsidRoot w:val="00877979"/>
    <w:rsid w:val="0075371F"/>
    <w:rsid w:val="00877979"/>
    <w:rsid w:val="00A86E55"/>
    <w:rsid w:val="00B41A6C"/>
    <w:rsid w:val="00FA55B2"/>
    <w:rsid w:val="17BF0EAB"/>
    <w:rsid w:val="1ACDF76D"/>
    <w:rsid w:val="1C7B165E"/>
    <w:rsid w:val="1FFE2160"/>
    <w:rsid w:val="252D87C9"/>
    <w:rsid w:val="27321635"/>
    <w:rsid w:val="2DFFC10B"/>
    <w:rsid w:val="37F52514"/>
    <w:rsid w:val="38B85D2B"/>
    <w:rsid w:val="3BBF8718"/>
    <w:rsid w:val="3BFB53C9"/>
    <w:rsid w:val="3CFDB9F4"/>
    <w:rsid w:val="3DF56D99"/>
    <w:rsid w:val="3DFC3B0C"/>
    <w:rsid w:val="3EFE10BB"/>
    <w:rsid w:val="3FFD4D20"/>
    <w:rsid w:val="4AEEC344"/>
    <w:rsid w:val="4DFBBF7C"/>
    <w:rsid w:val="59FF2CDD"/>
    <w:rsid w:val="5AFFFA98"/>
    <w:rsid w:val="5D7F364A"/>
    <w:rsid w:val="5EA3F75D"/>
    <w:rsid w:val="5ED95BAF"/>
    <w:rsid w:val="5F72F4F6"/>
    <w:rsid w:val="5FAF441C"/>
    <w:rsid w:val="5FBD9C1B"/>
    <w:rsid w:val="5FF6E535"/>
    <w:rsid w:val="683F24AE"/>
    <w:rsid w:val="6EFDA622"/>
    <w:rsid w:val="6F9F7C9E"/>
    <w:rsid w:val="6FA36437"/>
    <w:rsid w:val="6FAC014A"/>
    <w:rsid w:val="6FFFB6B5"/>
    <w:rsid w:val="75FC0C22"/>
    <w:rsid w:val="77BEF02E"/>
    <w:rsid w:val="77DBEDA0"/>
    <w:rsid w:val="77FE4965"/>
    <w:rsid w:val="78DB8FD6"/>
    <w:rsid w:val="7BB88A5B"/>
    <w:rsid w:val="7BD609FA"/>
    <w:rsid w:val="7DF3482C"/>
    <w:rsid w:val="7EF7AF0F"/>
    <w:rsid w:val="7F3F8378"/>
    <w:rsid w:val="7F77F7AC"/>
    <w:rsid w:val="7F7FE315"/>
    <w:rsid w:val="7FCFAFD7"/>
    <w:rsid w:val="7FEF5417"/>
    <w:rsid w:val="9ABF7B56"/>
    <w:rsid w:val="9DEF495F"/>
    <w:rsid w:val="ADE30307"/>
    <w:rsid w:val="B5B97316"/>
    <w:rsid w:val="B7287C87"/>
    <w:rsid w:val="BE979F2E"/>
    <w:rsid w:val="C1F39E70"/>
    <w:rsid w:val="D2F7476D"/>
    <w:rsid w:val="DBBF13CD"/>
    <w:rsid w:val="DBBF8123"/>
    <w:rsid w:val="DDFF7A89"/>
    <w:rsid w:val="DEB4C796"/>
    <w:rsid w:val="DFEF0CAD"/>
    <w:rsid w:val="DFEFB45F"/>
    <w:rsid w:val="E09F2DC7"/>
    <w:rsid w:val="E3FDBF66"/>
    <w:rsid w:val="E6D64976"/>
    <w:rsid w:val="E7FE7164"/>
    <w:rsid w:val="EDAF9498"/>
    <w:rsid w:val="F27F5987"/>
    <w:rsid w:val="F78F0C48"/>
    <w:rsid w:val="F7B54237"/>
    <w:rsid w:val="F7BB8DC1"/>
    <w:rsid w:val="F7BDBC1D"/>
    <w:rsid w:val="F7ED4D9A"/>
    <w:rsid w:val="F7FF5116"/>
    <w:rsid w:val="FDEB661D"/>
    <w:rsid w:val="FE298555"/>
    <w:rsid w:val="FEEFDBBA"/>
    <w:rsid w:val="FEFCA01D"/>
    <w:rsid w:val="FF7E1FA7"/>
    <w:rsid w:val="FF8F6252"/>
    <w:rsid w:val="FFAFE19A"/>
    <w:rsid w:val="FFF1C392"/>
    <w:rsid w:val="FFF6DED1"/>
    <w:rsid w:val="FFF9B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2444</Words>
  <Characters>2516</Characters>
  <Lines>18</Lines>
  <Paragraphs>5</Paragraphs>
  <TotalTime>1</TotalTime>
  <ScaleCrop>false</ScaleCrop>
  <LinksUpToDate>false</LinksUpToDate>
  <CharactersWithSpaces>2685</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2019-11-10T07:20:00Z</dcterms:created>
  <dc:creator>DC</dc:creator>
  <cp:lastModifiedBy>kylin</cp:lastModifiedBy>
  <dcterms:modified xsi:type="dcterms:W3CDTF">2022-11-15T19:21:16Z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971DEDA27CFF490FB72199202609C050</vt:lpwstr>
  </property>
</Properties>
</file>