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CE6" w:rsidRPr="009A5E2A" w:rsidRDefault="00D06AE8">
      <w:pPr>
        <w:pStyle w:val="1"/>
        <w:adjustRightInd w:val="0"/>
        <w:snapToGrid w:val="0"/>
        <w:jc w:val="center"/>
        <w:rPr>
          <w:rFonts w:ascii="仿宋" w:eastAsia="仿宋" w:hAnsi="仿宋" w:cs="仿宋_GB2312" w:hint="default"/>
          <w:bCs/>
          <w:color w:val="auto"/>
          <w:sz w:val="44"/>
          <w:szCs w:val="44"/>
        </w:rPr>
      </w:pPr>
      <w:r w:rsidRPr="009A5E2A">
        <w:rPr>
          <w:rFonts w:ascii="仿宋" w:eastAsia="仿宋" w:hAnsi="仿宋" w:cs="仿宋_GB2312"/>
          <w:bCs/>
          <w:color w:val="auto"/>
          <w:sz w:val="44"/>
          <w:szCs w:val="44"/>
        </w:rPr>
        <w:t>《关于修改&lt;港口和船舶岸电管理办法&gt;</w:t>
      </w:r>
    </w:p>
    <w:p w:rsidR="009F1CE6" w:rsidRPr="009A5E2A" w:rsidRDefault="00D06AE8">
      <w:pPr>
        <w:pStyle w:val="1"/>
        <w:adjustRightInd w:val="0"/>
        <w:snapToGrid w:val="0"/>
        <w:jc w:val="center"/>
        <w:rPr>
          <w:rFonts w:ascii="仿宋" w:eastAsia="仿宋" w:hAnsi="仿宋" w:cs="方正小标宋_GBK" w:hint="default"/>
          <w:b w:val="0"/>
          <w:color w:val="auto"/>
          <w:sz w:val="44"/>
          <w:szCs w:val="44"/>
        </w:rPr>
      </w:pPr>
      <w:r w:rsidRPr="009A5E2A">
        <w:rPr>
          <w:rFonts w:ascii="仿宋" w:eastAsia="仿宋" w:hAnsi="仿宋" w:cs="仿宋_GB2312"/>
          <w:bCs/>
          <w:color w:val="auto"/>
          <w:sz w:val="44"/>
          <w:szCs w:val="44"/>
        </w:rPr>
        <w:t>的决定（征求意见稿）》的起草说明</w:t>
      </w:r>
    </w:p>
    <w:p w:rsidR="009F1CE6" w:rsidRPr="009A5E2A" w:rsidRDefault="009F1CE6">
      <w:pPr>
        <w:spacing w:line="580" w:lineRule="exact"/>
        <w:jc w:val="center"/>
        <w:rPr>
          <w:rFonts w:ascii="仿宋" w:eastAsia="仿宋" w:hAnsi="仿宋"/>
          <w:sz w:val="32"/>
          <w:szCs w:val="32"/>
        </w:rPr>
      </w:pPr>
    </w:p>
    <w:p w:rsidR="009F1CE6" w:rsidRPr="009A5E2A" w:rsidRDefault="00D06AE8">
      <w:pPr>
        <w:ind w:firstLineChars="200" w:firstLine="643"/>
        <w:rPr>
          <w:rFonts w:ascii="仿宋" w:eastAsia="仿宋" w:hAnsi="仿宋" w:cs="仿宋_GB2312"/>
          <w:b/>
          <w:bCs/>
          <w:sz w:val="32"/>
          <w:szCs w:val="32"/>
        </w:rPr>
      </w:pPr>
      <w:r w:rsidRPr="009A5E2A">
        <w:rPr>
          <w:rFonts w:ascii="仿宋" w:eastAsia="仿宋" w:hAnsi="仿宋" w:cs="仿宋_GB2312" w:hint="eastAsia"/>
          <w:b/>
          <w:bCs/>
          <w:sz w:val="32"/>
          <w:szCs w:val="32"/>
        </w:rPr>
        <w:t>一、修改必要性</w:t>
      </w:r>
    </w:p>
    <w:p w:rsidR="009F1CE6" w:rsidRPr="009A5E2A" w:rsidRDefault="00D06AE8">
      <w:pPr>
        <w:ind w:firstLineChars="200" w:firstLine="640"/>
        <w:rPr>
          <w:rFonts w:ascii="仿宋" w:eastAsia="仿宋" w:hAnsi="仿宋" w:cs="仿宋_GB2312"/>
          <w:sz w:val="32"/>
          <w:szCs w:val="32"/>
        </w:rPr>
      </w:pPr>
      <w:r w:rsidRPr="009A5E2A">
        <w:rPr>
          <w:rFonts w:ascii="仿宋" w:eastAsia="仿宋" w:hAnsi="仿宋" w:cs="仿宋_GB2312" w:hint="eastAsia"/>
          <w:sz w:val="32"/>
          <w:szCs w:val="32"/>
        </w:rPr>
        <w:t>2019年12月，</w:t>
      </w:r>
      <w:r w:rsidR="00AA2FA1" w:rsidRPr="009A5E2A">
        <w:rPr>
          <w:rFonts w:ascii="仿宋" w:eastAsia="仿宋" w:hAnsi="仿宋" w:cs="仿宋_GB2312" w:hint="eastAsia"/>
          <w:sz w:val="32"/>
          <w:szCs w:val="32"/>
        </w:rPr>
        <w:t>交通运输</w:t>
      </w:r>
      <w:r w:rsidRPr="009A5E2A">
        <w:rPr>
          <w:rFonts w:ascii="仿宋" w:eastAsia="仿宋" w:hAnsi="仿宋" w:cs="仿宋_GB2312" w:hint="eastAsia"/>
          <w:sz w:val="32"/>
          <w:szCs w:val="32"/>
        </w:rPr>
        <w:t>部发布了《港口和船舶岸电管理办法》（2019年第45号令，以下简称《办法》）。《</w:t>
      </w:r>
      <w:r w:rsidR="00405D71" w:rsidRPr="009A5E2A">
        <w:rPr>
          <w:rFonts w:ascii="仿宋" w:eastAsia="仿宋" w:hAnsi="仿宋" w:cs="仿宋_GB2312" w:hint="eastAsia"/>
          <w:sz w:val="32"/>
          <w:szCs w:val="32"/>
        </w:rPr>
        <w:t>办法》首次以规章形式对岸电的建设和使用、服务和安全、监督检查等作</w:t>
      </w:r>
      <w:r w:rsidRPr="009A5E2A">
        <w:rPr>
          <w:rFonts w:ascii="仿宋" w:eastAsia="仿宋" w:hAnsi="仿宋" w:cs="仿宋_GB2312" w:hint="eastAsia"/>
          <w:sz w:val="32"/>
          <w:szCs w:val="32"/>
        </w:rPr>
        <w:t>出了系统规定，对推进船舶靠港使用岸电发挥了重要作用。但因无上位法依据，《办法》对船舶不按规定使用岸电仅提出了由海事管理机构责令整改的措施。</w:t>
      </w:r>
    </w:p>
    <w:p w:rsidR="009F1CE6" w:rsidRPr="009A5E2A" w:rsidRDefault="00D06AE8">
      <w:pPr>
        <w:ind w:firstLineChars="200" w:firstLine="640"/>
        <w:rPr>
          <w:rFonts w:ascii="仿宋" w:eastAsia="仿宋" w:hAnsi="仿宋" w:cs="仿宋_GB2312"/>
          <w:sz w:val="32"/>
          <w:szCs w:val="32"/>
        </w:rPr>
      </w:pPr>
      <w:r w:rsidRPr="009A5E2A">
        <w:rPr>
          <w:rFonts w:ascii="仿宋" w:eastAsia="仿宋" w:hAnsi="仿宋" w:cs="仿宋_GB2312" w:hint="eastAsia"/>
          <w:sz w:val="32"/>
          <w:szCs w:val="32"/>
        </w:rPr>
        <w:t>2020年12月26日，《长江保护法》颁布，其中第七十二条、七十三条明确了长江流域县级以上地方政府有制定并组织实施港口岸电设施、船舶受电设施建设和改造计</w:t>
      </w:r>
      <w:r w:rsidR="00405D71" w:rsidRPr="009A5E2A">
        <w:rPr>
          <w:rFonts w:ascii="仿宋" w:eastAsia="仿宋" w:hAnsi="仿宋" w:cs="仿宋_GB2312" w:hint="eastAsia"/>
          <w:sz w:val="32"/>
          <w:szCs w:val="32"/>
        </w:rPr>
        <w:t>划，并给予政策扶持的职责，进一步明确了具备使用条件的船舶靠港时</w:t>
      </w:r>
      <w:r w:rsidRPr="009A5E2A">
        <w:rPr>
          <w:rFonts w:ascii="仿宋" w:eastAsia="仿宋" w:hAnsi="仿宋" w:cs="仿宋_GB2312" w:hint="eastAsia"/>
          <w:sz w:val="32"/>
          <w:szCs w:val="32"/>
        </w:rPr>
        <w:t>应当按规定使用岸电，第八十四条规定了相应罚则。为落实《长江保护法》有关要求，交通运输部将《办法》修订列为2021年一类立法计划，现已形成了修订草案征求意见稿。</w:t>
      </w:r>
    </w:p>
    <w:p w:rsidR="009F1CE6" w:rsidRPr="009A5E2A" w:rsidRDefault="00D06AE8">
      <w:pPr>
        <w:ind w:firstLineChars="200" w:firstLine="643"/>
        <w:rPr>
          <w:rFonts w:ascii="仿宋" w:eastAsia="仿宋" w:hAnsi="仿宋" w:cs="仿宋_GB2312"/>
          <w:b/>
          <w:bCs/>
          <w:sz w:val="32"/>
          <w:szCs w:val="32"/>
        </w:rPr>
      </w:pPr>
      <w:r w:rsidRPr="009A5E2A">
        <w:rPr>
          <w:rFonts w:ascii="仿宋" w:eastAsia="仿宋" w:hAnsi="仿宋" w:cs="仿宋_GB2312" w:hint="eastAsia"/>
          <w:b/>
          <w:bCs/>
          <w:sz w:val="32"/>
          <w:szCs w:val="32"/>
        </w:rPr>
        <w:t>二、修改的主要内容</w:t>
      </w:r>
    </w:p>
    <w:p w:rsidR="009F1CE6" w:rsidRPr="009A5E2A" w:rsidRDefault="00D06AE8">
      <w:pPr>
        <w:ind w:firstLineChars="200" w:firstLine="643"/>
        <w:rPr>
          <w:rFonts w:ascii="仿宋" w:eastAsia="仿宋" w:hAnsi="仿宋" w:cs="仿宋_GB2312"/>
          <w:sz w:val="32"/>
          <w:szCs w:val="32"/>
        </w:rPr>
      </w:pPr>
      <w:r w:rsidRPr="009A5E2A">
        <w:rPr>
          <w:rFonts w:ascii="仿宋" w:eastAsia="仿宋" w:hAnsi="仿宋" w:cs="仿宋_GB2312" w:hint="eastAsia"/>
          <w:b/>
          <w:sz w:val="32"/>
          <w:szCs w:val="32"/>
        </w:rPr>
        <w:t>（一）明确了长江流域有关地方人民政府和港航企业对港口和船舶岸电设施改造等要求。</w:t>
      </w:r>
      <w:r w:rsidRPr="009A5E2A">
        <w:rPr>
          <w:rFonts w:ascii="仿宋" w:eastAsia="仿宋" w:hAnsi="仿宋" w:cs="仿宋_GB2312" w:hint="eastAsia"/>
          <w:sz w:val="32"/>
          <w:szCs w:val="32"/>
        </w:rPr>
        <w:t>《长江保护法》第七十二条规定，“……地方人民政府应当……制定港口岸电设施、</w:t>
      </w:r>
      <w:r w:rsidRPr="009A5E2A">
        <w:rPr>
          <w:rFonts w:ascii="仿宋" w:eastAsia="仿宋" w:hAnsi="仿宋" w:cs="仿宋_GB2312" w:hint="eastAsia"/>
          <w:sz w:val="32"/>
          <w:szCs w:val="32"/>
        </w:rPr>
        <w:lastRenderedPageBreak/>
        <w:t>船舶受电设施建设和改造计划，并组织实施”；第七十三条规定，“国务院和长江流域县级以上地方人民政府对长江流域港口岸电设施、船舶受电设施的改造和使用按照规定给予资金补贴、电价优惠等政策扶持”。《办法》（修订草案征求意见稿）第四条明确了扶持政策包括资金补贴、电价优惠等。第六条增加一款，明确长江流域的港口经营人应当按照所在地人民政府制定的码头岸电设施建设和改造计划实施建设和改造。第十条增加一款，明确长江流域的水路运输经营者应当按照所在地人民政府制定的船舶受电设施建设和改造计划实施建设和改造。</w:t>
      </w:r>
    </w:p>
    <w:p w:rsidR="009F1CE6" w:rsidRPr="009A5E2A" w:rsidRDefault="00D06AE8">
      <w:pPr>
        <w:ind w:firstLineChars="200" w:firstLine="643"/>
        <w:rPr>
          <w:rFonts w:ascii="仿宋" w:eastAsia="仿宋" w:hAnsi="仿宋" w:cs="仿宋_GB2312"/>
          <w:sz w:val="32"/>
          <w:szCs w:val="32"/>
        </w:rPr>
      </w:pPr>
      <w:r w:rsidRPr="009A5E2A">
        <w:rPr>
          <w:rFonts w:ascii="仿宋" w:eastAsia="仿宋" w:hAnsi="仿宋" w:cs="仿宋_GB2312" w:hint="eastAsia"/>
          <w:b/>
          <w:sz w:val="32"/>
          <w:szCs w:val="32"/>
        </w:rPr>
        <w:t>（二）增加了海事管理机构对船舶不按规定使用岸电的处罚规定。</w:t>
      </w:r>
      <w:r w:rsidRPr="009A5E2A">
        <w:rPr>
          <w:rFonts w:ascii="仿宋" w:eastAsia="仿宋" w:hAnsi="仿宋" w:cs="仿宋_GB2312" w:hint="eastAsia"/>
          <w:sz w:val="32"/>
          <w:szCs w:val="32"/>
        </w:rPr>
        <w:t>《长江保护法》第八十四条规定，具备岸电使用条件的船舶未按照国家有关规定使用岸电的，</w:t>
      </w:r>
      <w:r w:rsidR="00405D71" w:rsidRPr="009A5E2A">
        <w:rPr>
          <w:rFonts w:ascii="仿宋" w:eastAsia="仿宋" w:hAnsi="仿宋" w:cs="仿宋_GB2312" w:hint="eastAsia"/>
          <w:sz w:val="32"/>
          <w:szCs w:val="32"/>
        </w:rPr>
        <w:t>“</w:t>
      </w:r>
      <w:r w:rsidRPr="009A5E2A">
        <w:rPr>
          <w:rFonts w:ascii="仿宋" w:eastAsia="仿宋" w:hAnsi="仿宋" w:cs="仿宋_GB2312" w:hint="eastAsia"/>
          <w:sz w:val="32"/>
          <w:szCs w:val="32"/>
        </w:rPr>
        <w:t>由有关主管部门按照职责分工，责令停止违法行为，给予警告，并处一万元以上十万元以下罚款；情节严重的，并处十万元以上五十万元以下罚款</w:t>
      </w:r>
      <w:r w:rsidR="00405D71" w:rsidRPr="009A5E2A">
        <w:rPr>
          <w:rFonts w:ascii="仿宋" w:eastAsia="仿宋" w:hAnsi="仿宋" w:cs="仿宋_GB2312" w:hint="eastAsia"/>
          <w:sz w:val="32"/>
          <w:szCs w:val="32"/>
        </w:rPr>
        <w:t>”</w:t>
      </w:r>
      <w:r w:rsidR="0069588D" w:rsidRPr="009A5E2A">
        <w:rPr>
          <w:rFonts w:ascii="仿宋" w:eastAsia="仿宋" w:hAnsi="仿宋" w:cs="仿宋_GB2312" w:hint="eastAsia"/>
          <w:sz w:val="32"/>
          <w:szCs w:val="32"/>
        </w:rPr>
        <w:t>。</w:t>
      </w:r>
    </w:p>
    <w:p w:rsidR="009F1CE6" w:rsidRPr="009A5E2A" w:rsidRDefault="00D06AE8">
      <w:pPr>
        <w:ind w:firstLineChars="200" w:firstLine="640"/>
        <w:rPr>
          <w:rFonts w:ascii="仿宋" w:eastAsia="仿宋" w:hAnsi="仿宋" w:cs="仿宋_GB2312"/>
          <w:sz w:val="32"/>
          <w:szCs w:val="32"/>
        </w:rPr>
      </w:pPr>
      <w:r w:rsidRPr="009A5E2A">
        <w:rPr>
          <w:rFonts w:ascii="仿宋" w:eastAsia="仿宋" w:hAnsi="仿宋" w:cs="仿宋_GB2312" w:hint="eastAsia"/>
          <w:sz w:val="32"/>
          <w:szCs w:val="32"/>
        </w:rPr>
        <w:t>一是在罚款额度设定方面。考虑到内河船舶的经济承受能力，为提高执法的可操作性，《办法》（修订草案征求意见稿）将对大部分船舶的罚款金额控制在2万以内。同时依据2021年1月22日修订印发的《行政处罚法》（将于今年7月15日起实施），对初次违法且危害后果轻微并及时改正的不予处罚，以教育批评为主。</w:t>
      </w:r>
    </w:p>
    <w:p w:rsidR="009F1CE6" w:rsidRPr="009A5E2A" w:rsidRDefault="00D06AE8" w:rsidP="0081049D">
      <w:pPr>
        <w:ind w:firstLineChars="200" w:firstLine="640"/>
        <w:rPr>
          <w:rFonts w:ascii="仿宋" w:eastAsia="仿宋" w:hAnsi="仿宋"/>
        </w:rPr>
      </w:pPr>
      <w:r w:rsidRPr="009A5E2A">
        <w:rPr>
          <w:rFonts w:ascii="仿宋" w:eastAsia="仿宋" w:hAnsi="仿宋" w:cs="仿宋_GB2312" w:hint="eastAsia"/>
          <w:sz w:val="32"/>
          <w:szCs w:val="32"/>
        </w:rPr>
        <w:lastRenderedPageBreak/>
        <w:t>二是在罚款金额阶次的设定方面。为体现处罚与造成的污染程度一致的原则，以发电机组（船舶辅机）总功率2000千瓦和8000千瓦划分了3个罚款阶次，分别罚款1—2万（2000千瓦以下）、2—5万（2000—8000千瓦）和5—10万（8000千瓦以上），具体金额由现场执法人员结合船舶发电机组</w:t>
      </w:r>
      <w:r w:rsidRPr="009A5E2A">
        <w:rPr>
          <w:rFonts w:ascii="仿宋" w:eastAsia="仿宋" w:hAnsi="仿宋" w:cs="仿宋_GB2312"/>
          <w:sz w:val="32"/>
          <w:szCs w:val="32"/>
        </w:rPr>
        <w:t>功率、</w:t>
      </w:r>
      <w:r w:rsidRPr="009A5E2A">
        <w:rPr>
          <w:rFonts w:ascii="仿宋" w:eastAsia="仿宋" w:hAnsi="仿宋" w:cs="仿宋_GB2312" w:hint="eastAsia"/>
          <w:sz w:val="32"/>
          <w:szCs w:val="32"/>
        </w:rPr>
        <w:t>停泊时长等情形确定；同时将船舶连续违规、累计多次违规不使用岸电以及船舶受电设施损坏后长期不维修的，作为情节严重的情形，相应在10万到50万之间划定了3个处罚阶次。参考《码头岸电设施建设技术规范》（JTS 155）和对典型船舶的调研情况，</w:t>
      </w:r>
      <w:r w:rsidR="00B80144" w:rsidRPr="00B80144">
        <w:rPr>
          <w:rFonts w:ascii="仿宋" w:eastAsia="仿宋" w:hAnsi="仿宋" w:cs="仿宋_GB2312" w:hint="eastAsia"/>
          <w:sz w:val="32"/>
          <w:szCs w:val="32"/>
        </w:rPr>
        <w:t>参考《码头岸电设施建设技术规范》（JTS 155）和对典型船舶的调研情况，</w:t>
      </w:r>
      <w:r w:rsidR="00BE308F" w:rsidRPr="00BE308F">
        <w:rPr>
          <w:rFonts w:ascii="仿宋" w:eastAsia="仿宋" w:hAnsi="仿宋" w:cs="仿宋_GB2312" w:hint="eastAsia"/>
          <w:sz w:val="32"/>
          <w:szCs w:val="32"/>
        </w:rPr>
        <w:t>发电机组总功率2000千瓦及以下的船舶，大致对应2万吨级以下集装箱船、7万吨级以下干散货船、8千吨级以下客船，即长江的内河货运船舶、客运船舶及小型海进江船舶，罚款金额基本在1—2万；发电机组总功率8000千瓦以上的船舶，大致对应10万吨级以上集装箱船、大型邮轮，主要处罚对象为大型海船，处罚金额为5万到10万；对其他船舶的处罚金额为2万到5万。</w:t>
      </w:r>
      <w:bookmarkStart w:id="0" w:name="_GoBack"/>
      <w:bookmarkEnd w:id="0"/>
    </w:p>
    <w:sectPr w:rsidR="009F1CE6" w:rsidRPr="009A5E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C4E" w:rsidRDefault="00B14C4E">
      <w:r>
        <w:separator/>
      </w:r>
    </w:p>
  </w:endnote>
  <w:endnote w:type="continuationSeparator" w:id="0">
    <w:p w:rsidR="00B14C4E" w:rsidRDefault="00B1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C4E" w:rsidRDefault="00B14C4E">
      <w:r>
        <w:separator/>
      </w:r>
    </w:p>
  </w:footnote>
  <w:footnote w:type="continuationSeparator" w:id="0">
    <w:p w:rsidR="00B14C4E" w:rsidRDefault="00B14C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0705F5"/>
    <w:rsid w:val="000F6C8E"/>
    <w:rsid w:val="001C5A7A"/>
    <w:rsid w:val="002172D7"/>
    <w:rsid w:val="002646CA"/>
    <w:rsid w:val="002D5AE1"/>
    <w:rsid w:val="00405D71"/>
    <w:rsid w:val="004D24E4"/>
    <w:rsid w:val="004D625E"/>
    <w:rsid w:val="004E20AE"/>
    <w:rsid w:val="00570979"/>
    <w:rsid w:val="0069588D"/>
    <w:rsid w:val="0081049D"/>
    <w:rsid w:val="00825B68"/>
    <w:rsid w:val="00957F40"/>
    <w:rsid w:val="009A5E2A"/>
    <w:rsid w:val="009F1CE6"/>
    <w:rsid w:val="00AA2FA1"/>
    <w:rsid w:val="00B14C4E"/>
    <w:rsid w:val="00B52DEF"/>
    <w:rsid w:val="00B73337"/>
    <w:rsid w:val="00B80144"/>
    <w:rsid w:val="00BE308F"/>
    <w:rsid w:val="00D06AE8"/>
    <w:rsid w:val="01481482"/>
    <w:rsid w:val="01D07CDE"/>
    <w:rsid w:val="02E05E38"/>
    <w:rsid w:val="0485667E"/>
    <w:rsid w:val="04AF66BE"/>
    <w:rsid w:val="0AF96E94"/>
    <w:rsid w:val="0CE02739"/>
    <w:rsid w:val="0FBA1590"/>
    <w:rsid w:val="0FDF1317"/>
    <w:rsid w:val="130B6279"/>
    <w:rsid w:val="16824115"/>
    <w:rsid w:val="17EA4EC3"/>
    <w:rsid w:val="19420279"/>
    <w:rsid w:val="1B744E3D"/>
    <w:rsid w:val="1DA26F68"/>
    <w:rsid w:val="20A95C08"/>
    <w:rsid w:val="21FC446D"/>
    <w:rsid w:val="245C1281"/>
    <w:rsid w:val="24CA1A5A"/>
    <w:rsid w:val="269A715F"/>
    <w:rsid w:val="276C5D74"/>
    <w:rsid w:val="288F13B8"/>
    <w:rsid w:val="2A7F7E5A"/>
    <w:rsid w:val="2AE30209"/>
    <w:rsid w:val="2C5E1673"/>
    <w:rsid w:val="2E917CC9"/>
    <w:rsid w:val="2F0705F5"/>
    <w:rsid w:val="2FC36705"/>
    <w:rsid w:val="2FC36BE6"/>
    <w:rsid w:val="301C22AB"/>
    <w:rsid w:val="307F667C"/>
    <w:rsid w:val="309D3CCB"/>
    <w:rsid w:val="317E0FFE"/>
    <w:rsid w:val="31A76293"/>
    <w:rsid w:val="33A2198B"/>
    <w:rsid w:val="364C53E8"/>
    <w:rsid w:val="3B7647B6"/>
    <w:rsid w:val="3B894069"/>
    <w:rsid w:val="3E787E28"/>
    <w:rsid w:val="41726F93"/>
    <w:rsid w:val="43496EB5"/>
    <w:rsid w:val="440E3FDF"/>
    <w:rsid w:val="455C0962"/>
    <w:rsid w:val="480D6278"/>
    <w:rsid w:val="48AC5B1C"/>
    <w:rsid w:val="49D1702F"/>
    <w:rsid w:val="4AC639E6"/>
    <w:rsid w:val="4AEB50A2"/>
    <w:rsid w:val="4B444194"/>
    <w:rsid w:val="4D701E1C"/>
    <w:rsid w:val="4E7439F9"/>
    <w:rsid w:val="4FBD42F4"/>
    <w:rsid w:val="51C94E16"/>
    <w:rsid w:val="52E07372"/>
    <w:rsid w:val="56BE3C9E"/>
    <w:rsid w:val="5A963640"/>
    <w:rsid w:val="5AF35DB2"/>
    <w:rsid w:val="5BD4031D"/>
    <w:rsid w:val="5D843688"/>
    <w:rsid w:val="5E7852A5"/>
    <w:rsid w:val="609F0DCD"/>
    <w:rsid w:val="62651179"/>
    <w:rsid w:val="671A3811"/>
    <w:rsid w:val="6B324C57"/>
    <w:rsid w:val="6B4860C1"/>
    <w:rsid w:val="6D333456"/>
    <w:rsid w:val="6E1E6A5A"/>
    <w:rsid w:val="759323DA"/>
    <w:rsid w:val="76144FC6"/>
    <w:rsid w:val="768B6E51"/>
    <w:rsid w:val="77D61631"/>
    <w:rsid w:val="7BAB6AE8"/>
    <w:rsid w:val="7FB16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F2D8B2-B83F-45CC-B03F-5B828D4D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rPr>
  </w:style>
  <w:style w:type="paragraph" w:styleId="1">
    <w:name w:val="heading 1"/>
    <w:basedOn w:val="a"/>
    <w:next w:val="a"/>
    <w:qFormat/>
    <w:pPr>
      <w:jc w:val="left"/>
      <w:outlineLvl w:val="0"/>
    </w:pPr>
    <w:rPr>
      <w:rFonts w:ascii="宋体" w:hAnsi="宋体" w:hint="eastAsia"/>
      <w:b/>
      <w:color w:val="222222"/>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3</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谢燕</dc:creator>
  <cp:lastModifiedBy>谢燕</cp:lastModifiedBy>
  <cp:revision>25</cp:revision>
  <cp:lastPrinted>2021-04-28T11:50:00Z</cp:lastPrinted>
  <dcterms:created xsi:type="dcterms:W3CDTF">2021-04-27T03:01:00Z</dcterms:created>
  <dcterms:modified xsi:type="dcterms:W3CDTF">2021-05-07T00:44:00Z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